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D4396" w14:textId="007D367C" w:rsidR="003B4FA4" w:rsidRPr="00887536" w:rsidRDefault="003B4FA4" w:rsidP="00D66B9A">
      <w:pPr>
        <w:jc w:val="center"/>
        <w:rPr>
          <w:rFonts w:cs="TimesLTStd-Roman"/>
          <w:smallCaps/>
          <w:color w:val="000000"/>
          <w:spacing w:val="-1"/>
        </w:rPr>
      </w:pPr>
      <w:bookmarkStart w:id="0" w:name="OLE_LINK121"/>
    </w:p>
    <w:tbl>
      <w:tblPr>
        <w:tblStyle w:val="TableGrid"/>
        <w:tblW w:w="0" w:type="auto"/>
        <w:tblLook w:val="04A0" w:firstRow="1" w:lastRow="0" w:firstColumn="1" w:lastColumn="0" w:noHBand="0" w:noVBand="1"/>
      </w:tblPr>
      <w:tblGrid>
        <w:gridCol w:w="9016"/>
      </w:tblGrid>
      <w:tr w:rsidR="001D0059" w14:paraId="0C1F709C" w14:textId="77777777" w:rsidTr="4480380F">
        <w:tc>
          <w:tcPr>
            <w:tcW w:w="9016" w:type="dxa"/>
          </w:tcPr>
          <w:p w14:paraId="07CE304B" w14:textId="3FCE100B" w:rsidR="001D0059" w:rsidRPr="00BD21A1" w:rsidRDefault="001D0059" w:rsidP="001D0059">
            <w:pPr>
              <w:jc w:val="both"/>
            </w:pPr>
            <w:r w:rsidRPr="00C8631D">
              <w:rPr>
                <w:b/>
              </w:rPr>
              <w:t>Name of the data set</w:t>
            </w:r>
            <w:r w:rsidR="00BD21A1" w:rsidRPr="00C8631D">
              <w:rPr>
                <w:b/>
              </w:rPr>
              <w:t>:</w:t>
            </w:r>
            <w:r w:rsidR="00BD21A1" w:rsidRPr="00BD21A1">
              <w:t xml:space="preserve"> </w:t>
            </w:r>
            <w:r w:rsidR="006A7FAA" w:rsidRPr="006A7FAA">
              <w:t>FIGARO-E3: a high-resolution extended multi-regional input-output database consistent with official statistics</w:t>
            </w:r>
          </w:p>
        </w:tc>
      </w:tr>
      <w:tr w:rsidR="00BD697C" w14:paraId="0D186AC2" w14:textId="77777777" w:rsidTr="4480380F">
        <w:tc>
          <w:tcPr>
            <w:tcW w:w="9016" w:type="dxa"/>
          </w:tcPr>
          <w:p w14:paraId="7A078223" w14:textId="138E5DFA" w:rsidR="00BD697C" w:rsidRDefault="001D0059" w:rsidP="00C74EE8">
            <w:pPr>
              <w:jc w:val="both"/>
            </w:pPr>
            <w:r w:rsidRPr="00C8631D">
              <w:rPr>
                <w:b/>
              </w:rPr>
              <w:t>A</w:t>
            </w:r>
            <w:r w:rsidR="00BD697C" w:rsidRPr="00C8631D">
              <w:rPr>
                <w:b/>
              </w:rPr>
              <w:t>cronym</w:t>
            </w:r>
            <w:r w:rsidRPr="00C8631D">
              <w:rPr>
                <w:b/>
              </w:rPr>
              <w:t xml:space="preserve"> of data set</w:t>
            </w:r>
            <w:r w:rsidR="00BD21A1">
              <w:t xml:space="preserve">: </w:t>
            </w:r>
            <w:r w:rsidR="006A7FAA" w:rsidRPr="006A7FAA">
              <w:t>FIGARO-E3</w:t>
            </w:r>
          </w:p>
        </w:tc>
      </w:tr>
      <w:tr w:rsidR="00BD697C" w:rsidRPr="0034571F" w14:paraId="13AF8ECB" w14:textId="77777777" w:rsidTr="4480380F">
        <w:tc>
          <w:tcPr>
            <w:tcW w:w="9016" w:type="dxa"/>
          </w:tcPr>
          <w:p w14:paraId="534C5B30" w14:textId="77777777" w:rsidR="00C8631D" w:rsidRDefault="00BD697C" w:rsidP="00C74EE8">
            <w:pPr>
              <w:jc w:val="both"/>
            </w:pPr>
            <w:r w:rsidRPr="00C8631D">
              <w:rPr>
                <w:b/>
              </w:rPr>
              <w:t>Contact organization and mail address</w:t>
            </w:r>
            <w:r w:rsidR="00BD21A1" w:rsidRPr="00C8631D">
              <w:rPr>
                <w:b/>
              </w:rPr>
              <w:t>:</w:t>
            </w:r>
            <w:r w:rsidR="00BD21A1">
              <w:t xml:space="preserve"> </w:t>
            </w:r>
            <w:r w:rsidR="00BD21A1" w:rsidRPr="00BD21A1">
              <w:t>Joint Research Centre (JRC-Seville)</w:t>
            </w:r>
          </w:p>
          <w:p w14:paraId="7CC459A2" w14:textId="33531DCD" w:rsidR="00BD697C" w:rsidRPr="00C8631D" w:rsidRDefault="00BD21A1" w:rsidP="00C74EE8">
            <w:pPr>
              <w:jc w:val="both"/>
              <w:rPr>
                <w:lang w:val="es-AR"/>
              </w:rPr>
            </w:pPr>
            <w:r w:rsidRPr="00C8631D">
              <w:rPr>
                <w:lang w:val="es-AR"/>
              </w:rPr>
              <w:t>Edificio Expo, C. Inca Garcilaso, 3, 41092 Sevilla</w:t>
            </w:r>
          </w:p>
        </w:tc>
      </w:tr>
      <w:tr w:rsidR="00116D39" w14:paraId="58AE5864" w14:textId="77777777" w:rsidTr="4480380F">
        <w:tc>
          <w:tcPr>
            <w:tcW w:w="9016" w:type="dxa"/>
          </w:tcPr>
          <w:p w14:paraId="4AF94A90" w14:textId="3A967136" w:rsidR="00116D39" w:rsidRDefault="00116D39" w:rsidP="00EF32A6">
            <w:pPr>
              <w:jc w:val="both"/>
            </w:pPr>
            <w:r w:rsidRPr="00C8631D">
              <w:rPr>
                <w:b/>
              </w:rPr>
              <w:t>Contact person and e-mail address</w:t>
            </w:r>
            <w:r w:rsidR="00BD21A1" w:rsidRPr="00C8631D">
              <w:rPr>
                <w:b/>
              </w:rPr>
              <w:t>:</w:t>
            </w:r>
            <w:r w:rsidR="00BD21A1">
              <w:t xml:space="preserve"> </w:t>
            </w:r>
            <w:r w:rsidR="006A7FAA" w:rsidRPr="006A7FAA">
              <w:t>José Manuel Rueda-</w:t>
            </w:r>
            <w:proofErr w:type="spellStart"/>
            <w:r w:rsidR="006A7FAA" w:rsidRPr="006A7FAA">
              <w:t>Cantuche</w:t>
            </w:r>
            <w:proofErr w:type="spellEnd"/>
            <w:r w:rsidR="00BD21A1">
              <w:t xml:space="preserve">, </w:t>
            </w:r>
            <w:proofErr w:type="spellStart"/>
            <w:r w:rsidR="006A7FAA" w:rsidRPr="006A7FAA">
              <w:t>Josem.RCANTUCHE</w:t>
            </w:r>
            <w:proofErr w:type="spellEnd"/>
            <w:r w:rsidR="006A7FAA" w:rsidRPr="006A7FAA" w:rsidDel="006A7FAA">
              <w:t xml:space="preserve"> </w:t>
            </w:r>
            <w:r w:rsidR="00BD21A1" w:rsidRPr="00BD21A1">
              <w:t>@ec.europa.eu</w:t>
            </w:r>
          </w:p>
        </w:tc>
      </w:tr>
      <w:tr w:rsidR="00BD697C" w14:paraId="66B4F2F5" w14:textId="77777777" w:rsidTr="4480380F">
        <w:tc>
          <w:tcPr>
            <w:tcW w:w="9016" w:type="dxa"/>
          </w:tcPr>
          <w:p w14:paraId="5105CDCC" w14:textId="0F77E5E8" w:rsidR="00BD697C" w:rsidRPr="00C8631D" w:rsidRDefault="00116D39" w:rsidP="00116D39">
            <w:pPr>
              <w:jc w:val="both"/>
              <w:rPr>
                <w:b/>
              </w:rPr>
            </w:pPr>
            <w:r w:rsidRPr="00C8631D">
              <w:rPr>
                <w:b/>
              </w:rPr>
              <w:t>Link (when downloaded from the internet)</w:t>
            </w:r>
          </w:p>
        </w:tc>
      </w:tr>
      <w:tr w:rsidR="00BD697C" w14:paraId="24A01039" w14:textId="77777777" w:rsidTr="4480380F">
        <w:tc>
          <w:tcPr>
            <w:tcW w:w="9016" w:type="dxa"/>
          </w:tcPr>
          <w:p w14:paraId="46D997C4" w14:textId="3881EE6C" w:rsidR="00BD697C" w:rsidRPr="00BD21A1" w:rsidRDefault="00BD697C" w:rsidP="00BD21A1">
            <w:pPr>
              <w:jc w:val="both"/>
            </w:pPr>
            <w:r w:rsidRPr="00C8631D">
              <w:rPr>
                <w:b/>
              </w:rPr>
              <w:t>Frequency</w:t>
            </w:r>
            <w:r w:rsidR="4480380F" w:rsidRPr="00C8631D">
              <w:rPr>
                <w:b/>
              </w:rPr>
              <w:t xml:space="preserve"> of dissemination</w:t>
            </w:r>
            <w:r w:rsidR="00BD21A1" w:rsidRPr="00C8631D">
              <w:rPr>
                <w:b/>
              </w:rPr>
              <w:t>:</w:t>
            </w:r>
            <w:r w:rsidR="00BD21A1">
              <w:t xml:space="preserve"> </w:t>
            </w:r>
            <w:r w:rsidR="006A7FAA">
              <w:t>Irregular</w:t>
            </w:r>
          </w:p>
        </w:tc>
      </w:tr>
      <w:tr w:rsidR="00BD697C" w14:paraId="797E5015" w14:textId="77777777" w:rsidTr="4480380F">
        <w:tc>
          <w:tcPr>
            <w:tcW w:w="9016" w:type="dxa"/>
          </w:tcPr>
          <w:p w14:paraId="0A4F48E9" w14:textId="77777777" w:rsidR="00BD697C" w:rsidRPr="00C8631D" w:rsidRDefault="00BD697C" w:rsidP="00C74EE8">
            <w:pPr>
              <w:jc w:val="both"/>
              <w:rPr>
                <w:b/>
              </w:rPr>
            </w:pPr>
            <w:r w:rsidRPr="00C8631D">
              <w:rPr>
                <w:b/>
              </w:rPr>
              <w:t>Data description</w:t>
            </w:r>
            <w:r w:rsidR="00BD21A1" w:rsidRPr="00C8631D">
              <w:rPr>
                <w:b/>
              </w:rPr>
              <w:t xml:space="preserve">: </w:t>
            </w:r>
          </w:p>
          <w:p w14:paraId="15576951" w14:textId="35E2EF62" w:rsidR="00C8631D" w:rsidRDefault="006A7FAA" w:rsidP="00BD21A1">
            <w:pPr>
              <w:jc w:val="both"/>
            </w:pPr>
            <w:r>
              <w:t xml:space="preserve">The </w:t>
            </w:r>
            <w:r w:rsidR="00BD21A1" w:rsidRPr="00BD21A1">
              <w:t>FIGARO-</w:t>
            </w:r>
            <w:r>
              <w:t>E3</w:t>
            </w:r>
            <w:r w:rsidRPr="00BD21A1">
              <w:t xml:space="preserve"> </w:t>
            </w:r>
            <w:r>
              <w:t xml:space="preserve">database </w:t>
            </w:r>
            <w:r w:rsidR="00BD21A1" w:rsidRPr="00BD21A1">
              <w:t>have been compiled in the framework of the project FIGARO-</w:t>
            </w:r>
            <w:r>
              <w:t>E3</w:t>
            </w:r>
            <w:r w:rsidR="00BD21A1" w:rsidRPr="00BD21A1">
              <w:t xml:space="preserve">, a joint effort by the Knowledge for Innovation, Finance and Growth Unit (JRC.B.7) of the European Commission Joint Research Centre and the Basque Centre for Climate Change (BC3). The objective of this project was to disaggregate </w:t>
            </w:r>
            <w:r>
              <w:t xml:space="preserve">the </w:t>
            </w:r>
            <w:r w:rsidR="00BD21A1" w:rsidRPr="00BD21A1">
              <w:t xml:space="preserve">FIGARO </w:t>
            </w:r>
            <w:r>
              <w:t>i</w:t>
            </w:r>
            <w:r w:rsidR="00A312F6">
              <w:t xml:space="preserve">nter-country </w:t>
            </w:r>
            <w:r>
              <w:t>s</w:t>
            </w:r>
            <w:r w:rsidR="00BD21A1" w:rsidRPr="00BD21A1">
              <w:t>upply, use and input-output tables, and create satellite accounts for energy, greenhouse gas emissions and labour by skill and gender using data from other sources such as EXIOBASE, EDGAR, Eurostat, OECD, etc.</w:t>
            </w:r>
          </w:p>
          <w:p w14:paraId="38DEA537" w14:textId="35B3459C" w:rsidR="00C8631D" w:rsidRDefault="006A7FAA" w:rsidP="00BD21A1">
            <w:pPr>
              <w:jc w:val="both"/>
            </w:pPr>
            <w:r>
              <w:t xml:space="preserve">The </w:t>
            </w:r>
            <w:r w:rsidR="003D2020">
              <w:t>FIGARO-</w:t>
            </w:r>
            <w:r>
              <w:t>E3</w:t>
            </w:r>
            <w:r w:rsidR="003D2020">
              <w:t xml:space="preserve"> </w:t>
            </w:r>
            <w:r>
              <w:t xml:space="preserve">database </w:t>
            </w:r>
            <w:r w:rsidR="00C8631D">
              <w:t>consist</w:t>
            </w:r>
            <w:r>
              <w:t>s</w:t>
            </w:r>
            <w:r w:rsidR="00C8631D">
              <w:t xml:space="preserve"> of the following </w:t>
            </w:r>
            <w:r w:rsidR="003D2020">
              <w:t>components</w:t>
            </w:r>
            <w:r w:rsidR="00C8631D">
              <w:t>:</w:t>
            </w:r>
          </w:p>
          <w:p w14:paraId="268B6588" w14:textId="107DD3DC" w:rsidR="003D2020" w:rsidRDefault="003D2020" w:rsidP="003D2020">
            <w:pPr>
              <w:pStyle w:val="ListParagraph"/>
              <w:numPr>
                <w:ilvl w:val="0"/>
                <w:numId w:val="22"/>
              </w:numPr>
              <w:jc w:val="both"/>
            </w:pPr>
            <w:r>
              <w:t xml:space="preserve">Inter-country Supply </w:t>
            </w:r>
            <w:r w:rsidR="0009605A">
              <w:t>(</w:t>
            </w:r>
            <w:proofErr w:type="spellStart"/>
            <w:r w:rsidR="0009605A">
              <w:t>ic</w:t>
            </w:r>
            <w:proofErr w:type="spellEnd"/>
            <w:r w:rsidR="0009605A">
              <w:t xml:space="preserve">-supply) </w:t>
            </w:r>
            <w:r>
              <w:t xml:space="preserve">and Use </w:t>
            </w:r>
            <w:r w:rsidR="0009605A">
              <w:t>(</w:t>
            </w:r>
            <w:proofErr w:type="spellStart"/>
            <w:r w:rsidR="0009605A">
              <w:t>ic</w:t>
            </w:r>
            <w:proofErr w:type="spellEnd"/>
            <w:r w:rsidR="0009605A">
              <w:t xml:space="preserve">-use) </w:t>
            </w:r>
            <w:r>
              <w:t>tables</w:t>
            </w:r>
            <w:r w:rsidR="0009605A">
              <w:t xml:space="preserve"> </w:t>
            </w:r>
          </w:p>
          <w:p w14:paraId="6E1886A1" w14:textId="39BC48AF" w:rsidR="00BD21A1" w:rsidRDefault="003D2020" w:rsidP="003D2020">
            <w:pPr>
              <w:pStyle w:val="ListParagraph"/>
              <w:numPr>
                <w:ilvl w:val="0"/>
                <w:numId w:val="22"/>
              </w:numPr>
              <w:jc w:val="both"/>
            </w:pPr>
            <w:r>
              <w:t>Inter-country Input-Output tables in model B (</w:t>
            </w:r>
            <w:proofErr w:type="spellStart"/>
            <w:r w:rsidR="0009605A">
              <w:t>ic</w:t>
            </w:r>
            <w:proofErr w:type="spellEnd"/>
            <w:r w:rsidR="00E671E7">
              <w:t>-</w:t>
            </w:r>
            <w:proofErr w:type="spellStart"/>
            <w:r w:rsidR="0009605A">
              <w:t>io</w:t>
            </w:r>
            <w:proofErr w:type="spellEnd"/>
            <w:r w:rsidR="0009605A">
              <w:t xml:space="preserve">-B; </w:t>
            </w:r>
            <w:r>
              <w:t>industry technology assumption) and model D</w:t>
            </w:r>
            <w:r w:rsidR="00BD21A1" w:rsidRPr="00BD21A1">
              <w:t xml:space="preserve"> </w:t>
            </w:r>
            <w:r>
              <w:t>(</w:t>
            </w:r>
            <w:proofErr w:type="spellStart"/>
            <w:r w:rsidR="0009605A">
              <w:t>ic</w:t>
            </w:r>
            <w:proofErr w:type="spellEnd"/>
            <w:r w:rsidR="00E671E7">
              <w:t>-</w:t>
            </w:r>
            <w:proofErr w:type="spellStart"/>
            <w:r w:rsidR="0009605A">
              <w:t>io</w:t>
            </w:r>
            <w:proofErr w:type="spellEnd"/>
            <w:r w:rsidR="0009605A">
              <w:t xml:space="preserve">-D; </w:t>
            </w:r>
            <w:r>
              <w:t>fixed product sales structure assumption)</w:t>
            </w:r>
          </w:p>
          <w:p w14:paraId="6850324E" w14:textId="39824E95" w:rsidR="003D2020" w:rsidRDefault="003D2020" w:rsidP="003D2020">
            <w:pPr>
              <w:pStyle w:val="ListParagraph"/>
              <w:numPr>
                <w:ilvl w:val="0"/>
                <w:numId w:val="22"/>
              </w:numPr>
              <w:jc w:val="both"/>
            </w:pPr>
            <w:r>
              <w:t>Energy and GHG emission accounts</w:t>
            </w:r>
          </w:p>
          <w:p w14:paraId="3F03C5B3" w14:textId="7417EFEF" w:rsidR="003D2020" w:rsidRPr="00BD21A1" w:rsidRDefault="003D2020" w:rsidP="003D2020">
            <w:pPr>
              <w:pStyle w:val="ListParagraph"/>
              <w:numPr>
                <w:ilvl w:val="0"/>
                <w:numId w:val="22"/>
              </w:numPr>
              <w:jc w:val="both"/>
            </w:pPr>
            <w:r>
              <w:t>Employment accounts by gender and skill</w:t>
            </w:r>
            <w:r w:rsidR="00E671E7">
              <w:t xml:space="preserve"> (based on information about education or occupation)</w:t>
            </w:r>
          </w:p>
          <w:p w14:paraId="14F5F2A5" w14:textId="3DE5833F" w:rsidR="00BD21A1" w:rsidRDefault="000645D1" w:rsidP="00452A00">
            <w:pPr>
              <w:jc w:val="both"/>
            </w:pPr>
            <w:r>
              <w:t xml:space="preserve">FIGARO-E3 </w:t>
            </w:r>
            <w:r w:rsidR="00452A00">
              <w:t xml:space="preserve">covers 45 countries </w:t>
            </w:r>
            <w:r w:rsidR="00B22942">
              <w:t xml:space="preserve">(including EU Member States) </w:t>
            </w:r>
            <w:r w:rsidR="00452A00">
              <w:t>plus a “rest of the world” region. The industry/product resolution consist on 176 industries and 213 products.</w:t>
            </w:r>
          </w:p>
          <w:p w14:paraId="5351E3D3" w14:textId="3E6EA94E" w:rsidR="001334CC" w:rsidRDefault="0025161D" w:rsidP="001334CC">
            <w:pPr>
              <w:jc w:val="both"/>
            </w:pPr>
            <w:r>
              <w:t xml:space="preserve">Energy accounts cover </w:t>
            </w:r>
            <w:r w:rsidR="0034571F">
              <w:t>six</w:t>
            </w:r>
            <w:r>
              <w:t xml:space="preserve"> energy indicators: Primary energy supply (PES)</w:t>
            </w:r>
            <w:r w:rsidR="00B80037">
              <w:t>,</w:t>
            </w:r>
            <w:r w:rsidR="00B22942">
              <w:t xml:space="preserve"> Net energy use (NEU)</w:t>
            </w:r>
            <w:r w:rsidR="00B80037">
              <w:t>, Final Energy Use (FEU), Energy industry own use (EOU)</w:t>
            </w:r>
            <w:r w:rsidR="0034571F">
              <w:t>,</w:t>
            </w:r>
            <w:r w:rsidR="00B80037">
              <w:t xml:space="preserve"> energy losses (LOSS) </w:t>
            </w:r>
            <w:r w:rsidR="0034571F">
              <w:t>and non-energy use (NENE)</w:t>
            </w:r>
            <w:r w:rsidR="00B22942">
              <w:t>. Three additional indicators are available upon request:</w:t>
            </w:r>
            <w:r>
              <w:t xml:space="preserve"> Gross energy supply (GES), Gross energy use (GEU) and Emission relevant energy use (EREU). GHG emission accounts cover </w:t>
            </w:r>
            <w:r w:rsidR="00B22942">
              <w:t>four</w:t>
            </w:r>
            <w:r>
              <w:t xml:space="preserve"> substances: carbon dioxide (CO</w:t>
            </w:r>
            <w:r w:rsidRPr="00A312F6">
              <w:rPr>
                <w:vertAlign w:val="subscript"/>
              </w:rPr>
              <w:t>2</w:t>
            </w:r>
            <w:r>
              <w:t>), methane (CH</w:t>
            </w:r>
            <w:r w:rsidRPr="00A312F6">
              <w:rPr>
                <w:vertAlign w:val="subscript"/>
              </w:rPr>
              <w:t>4</w:t>
            </w:r>
            <w:r>
              <w:t xml:space="preserve">), </w:t>
            </w:r>
            <w:r w:rsidR="00B22942">
              <w:t>n</w:t>
            </w:r>
            <w:r>
              <w:t>itrous oxide (N</w:t>
            </w:r>
            <w:r w:rsidRPr="00A312F6">
              <w:rPr>
                <w:vertAlign w:val="subscript"/>
              </w:rPr>
              <w:t>2</w:t>
            </w:r>
            <w:r>
              <w:t>O)</w:t>
            </w:r>
            <w:r w:rsidR="00B22942">
              <w:t xml:space="preserve"> and fluorinated gases (F-gases)</w:t>
            </w:r>
            <w:r>
              <w:t>.</w:t>
            </w:r>
            <w:r w:rsidR="001334CC">
              <w:t xml:space="preserve"> Employment accounts contain </w:t>
            </w:r>
            <w:r w:rsidR="00B22942">
              <w:t>six</w:t>
            </w:r>
            <w:r w:rsidR="001334CC">
              <w:t xml:space="preserve"> indicators as a result of the combination of </w:t>
            </w:r>
            <w:r w:rsidR="00B22942">
              <w:t>two</w:t>
            </w:r>
            <w:r w:rsidR="001334CC">
              <w:t xml:space="preserve"> gender</w:t>
            </w:r>
            <w:r w:rsidR="00D8773A">
              <w:t xml:space="preserve"> type</w:t>
            </w:r>
            <w:r w:rsidR="001334CC">
              <w:t xml:space="preserve">s (male and female) and </w:t>
            </w:r>
            <w:r w:rsidR="00B22942">
              <w:t>three</w:t>
            </w:r>
            <w:r w:rsidR="001334CC">
              <w:t xml:space="preserve"> skill levels (low, medium and high).</w:t>
            </w:r>
            <w:r w:rsidR="00E671E7">
              <w:t xml:space="preserve"> </w:t>
            </w:r>
          </w:p>
          <w:p w14:paraId="35C09500" w14:textId="77777777" w:rsidR="00D8773A" w:rsidRDefault="00D8773A" w:rsidP="00D8773A">
            <w:pPr>
              <w:jc w:val="both"/>
              <w:rPr>
                <w:rFonts w:ascii="Calibri" w:hAnsi="Calibri" w:cs="Calibri"/>
              </w:rPr>
            </w:pPr>
            <w:r>
              <w:rPr>
                <w:rFonts w:ascii="Calibri" w:eastAsia="Calibri" w:hAnsi="Calibri" w:cs="Calibri"/>
              </w:rPr>
              <w:t xml:space="preserve">Data sources for the Inter-country Supply, Use and Input-Output tables are FIGARO </w:t>
            </w:r>
            <w:r w:rsidRPr="00F634C9">
              <w:rPr>
                <w:rFonts w:ascii="Calibri" w:eastAsia="Calibri" w:hAnsi="Calibri" w:cs="Calibri"/>
              </w:rPr>
              <w:t>(</w:t>
            </w:r>
            <w:r w:rsidRPr="00F634C9">
              <w:rPr>
                <w:rFonts w:ascii="Calibri" w:eastAsia="Calibri" w:hAnsi="Calibri" w:cs="Calibri"/>
                <w:bCs/>
              </w:rPr>
              <w:t xml:space="preserve">EU IC-SUIOTs) tables and </w:t>
            </w:r>
            <w:r>
              <w:rPr>
                <w:rFonts w:cstheme="minorHAnsi"/>
              </w:rPr>
              <w:t xml:space="preserve">EXIOBASE </w:t>
            </w:r>
            <w:r>
              <w:t>v3.8.2. tables.</w:t>
            </w:r>
            <w:r w:rsidRPr="0017326D">
              <w:rPr>
                <w:rFonts w:ascii="Calibri" w:hAnsi="Calibri" w:cs="Calibri"/>
              </w:rPr>
              <w:t xml:space="preserve"> </w:t>
            </w:r>
          </w:p>
          <w:p w14:paraId="31DEC603" w14:textId="2E4A2601" w:rsidR="00632D6A" w:rsidRDefault="00632D6A" w:rsidP="00632D6A">
            <w:pPr>
              <w:jc w:val="both"/>
            </w:pPr>
            <w:r>
              <w:rPr>
                <w:rFonts w:ascii="Calibri" w:eastAsia="Calibri" w:hAnsi="Calibri" w:cs="Calibri"/>
              </w:rPr>
              <w:t xml:space="preserve">Data sources for employment accounts are </w:t>
            </w:r>
            <w:r w:rsidRPr="00844C08">
              <w:rPr>
                <w:rFonts w:cstheme="minorHAnsi"/>
              </w:rPr>
              <w:t xml:space="preserve">OECD </w:t>
            </w:r>
            <w:proofErr w:type="spellStart"/>
            <w:r w:rsidRPr="00844C08">
              <w:rPr>
                <w:rFonts w:cstheme="minorHAnsi"/>
              </w:rPr>
              <w:t>TiVA</w:t>
            </w:r>
            <w:proofErr w:type="spellEnd"/>
            <w:r w:rsidRPr="00844C08">
              <w:rPr>
                <w:rFonts w:cstheme="minorHAnsi"/>
              </w:rPr>
              <w:t xml:space="preserve"> indicators 2021 edition</w:t>
            </w:r>
            <w:r>
              <w:rPr>
                <w:rFonts w:cstheme="minorHAnsi"/>
              </w:rPr>
              <w:t xml:space="preserve"> and </w:t>
            </w:r>
            <w:r w:rsidR="00D8773A">
              <w:rPr>
                <w:rFonts w:cstheme="minorHAnsi"/>
              </w:rPr>
              <w:t xml:space="preserve">EXIOBASE </w:t>
            </w:r>
            <w:r>
              <w:t>v3.8.2.</w:t>
            </w:r>
          </w:p>
          <w:p w14:paraId="7D6C715B" w14:textId="6B4B5F11" w:rsidR="00A312F6" w:rsidRDefault="001334CC" w:rsidP="00632D6A">
            <w:pPr>
              <w:jc w:val="both"/>
              <w:rPr>
                <w:rFonts w:ascii="Calibri" w:hAnsi="Calibri" w:cs="Calibri"/>
              </w:rPr>
            </w:pPr>
            <w:r>
              <w:t xml:space="preserve">The data sources for energy </w:t>
            </w:r>
            <w:r w:rsidR="00E43990">
              <w:t xml:space="preserve">and GHG emissions </w:t>
            </w:r>
            <w:r>
              <w:t>accounts</w:t>
            </w:r>
            <w:r w:rsidR="00632D6A">
              <w:t xml:space="preserve"> are</w:t>
            </w:r>
            <w:r>
              <w:t xml:space="preserve"> the 201</w:t>
            </w:r>
            <w:r w:rsidR="00F24874">
              <w:t>7</w:t>
            </w:r>
            <w:r>
              <w:t xml:space="preserve"> version of the extended International Energy Agency </w:t>
            </w:r>
            <w:r w:rsidR="00D8773A">
              <w:t xml:space="preserve">(IEA) </w:t>
            </w:r>
            <w:r>
              <w:t xml:space="preserve">energy balances, emission factors from </w:t>
            </w:r>
            <w:r w:rsidR="00B80037">
              <w:t>IPCC</w:t>
            </w:r>
            <w:r>
              <w:t>, emissions from non- combustion processes from the EDGAR database</w:t>
            </w:r>
            <w:r w:rsidR="00E43990">
              <w:t xml:space="preserve">. GHG emission accounts </w:t>
            </w:r>
            <w:r w:rsidR="00E43990" w:rsidRPr="0017326D">
              <w:rPr>
                <w:rFonts w:ascii="Calibri" w:hAnsi="Calibri" w:cs="Calibri"/>
              </w:rPr>
              <w:t>ha</w:t>
            </w:r>
            <w:r w:rsidR="00E43990">
              <w:rPr>
                <w:rFonts w:ascii="Calibri" w:hAnsi="Calibri" w:cs="Calibri"/>
              </w:rPr>
              <w:t>ve</w:t>
            </w:r>
            <w:r w:rsidR="00E43990" w:rsidRPr="0017326D">
              <w:rPr>
                <w:rFonts w:ascii="Calibri" w:hAnsi="Calibri" w:cs="Calibri"/>
              </w:rPr>
              <w:t xml:space="preserve"> been reconciled with official emission accounts from Eurostat for European countries</w:t>
            </w:r>
            <w:r w:rsidR="00E43990">
              <w:rPr>
                <w:rFonts w:ascii="Calibri" w:hAnsi="Calibri" w:cs="Calibri"/>
              </w:rPr>
              <w:t xml:space="preserve">. This implies that </w:t>
            </w:r>
            <w:r w:rsidR="00E43990" w:rsidRPr="00E43990">
              <w:rPr>
                <w:rFonts w:ascii="Calibri" w:eastAsia="Calibri" w:hAnsi="Calibri" w:cs="Calibri"/>
              </w:rPr>
              <w:t>the link between IEA energy data and GHG data is lost in the case of European countries.</w:t>
            </w:r>
            <w:r w:rsidR="00E43990">
              <w:rPr>
                <w:rFonts w:ascii="Calibri" w:eastAsia="Calibri" w:hAnsi="Calibri" w:cs="Calibri"/>
              </w:rPr>
              <w:t xml:space="preserve"> </w:t>
            </w:r>
            <w:r w:rsidR="00E43990">
              <w:rPr>
                <w:rFonts w:ascii="Calibri" w:hAnsi="Calibri" w:cs="Calibri"/>
              </w:rPr>
              <w:t>E</w:t>
            </w:r>
            <w:r w:rsidR="00E43990" w:rsidRPr="0017326D">
              <w:rPr>
                <w:rFonts w:ascii="Calibri" w:hAnsi="Calibri" w:cs="Calibri"/>
              </w:rPr>
              <w:t xml:space="preserve">nergy accounts have not been reconciled with Eurostat data, given </w:t>
            </w:r>
            <w:r w:rsidR="00B80037">
              <w:rPr>
                <w:rFonts w:ascii="Calibri" w:hAnsi="Calibri" w:cs="Calibri"/>
              </w:rPr>
              <w:t xml:space="preserve">the differences between </w:t>
            </w:r>
            <w:r w:rsidR="00E43990" w:rsidRPr="0017326D">
              <w:rPr>
                <w:rFonts w:ascii="Calibri" w:hAnsi="Calibri" w:cs="Calibri"/>
              </w:rPr>
              <w:t>accounting principles.</w:t>
            </w:r>
            <w:r w:rsidR="00A312F6">
              <w:rPr>
                <w:rFonts w:ascii="Calibri" w:hAnsi="Calibri" w:cs="Calibri"/>
              </w:rPr>
              <w:t xml:space="preserve"> Therefore, t</w:t>
            </w:r>
            <w:r w:rsidR="00A312F6">
              <w:t xml:space="preserve">he </w:t>
            </w:r>
            <w:r w:rsidR="00743360">
              <w:t xml:space="preserve">GHG </w:t>
            </w:r>
            <w:r w:rsidR="00A312F6">
              <w:t>figures of the European countries are consistent with Eurostat data. For the remaining countries, emissions from combustion processes are consistent with IEA energy data</w:t>
            </w:r>
            <w:r w:rsidR="00743360">
              <w:t xml:space="preserve"> adapted to the accounting principles of the System of National Accounts</w:t>
            </w:r>
            <w:r w:rsidR="00A312F6">
              <w:t>, while the emissions from non-combustion processes are consistent with EDGAR figures.</w:t>
            </w:r>
          </w:p>
          <w:p w14:paraId="2B9B2244" w14:textId="4F27187C" w:rsidR="001334CC" w:rsidRDefault="00632D6A" w:rsidP="00F634C9">
            <w:pPr>
              <w:jc w:val="both"/>
            </w:pPr>
            <w:r>
              <w:rPr>
                <w:rFonts w:ascii="Calibri" w:hAnsi="Calibri" w:cs="Calibri"/>
              </w:rPr>
              <w:t>The energy, GHG emissions and employment accounts</w:t>
            </w:r>
            <w:r w:rsidR="007F642E">
              <w:rPr>
                <w:rFonts w:ascii="Calibri" w:hAnsi="Calibri" w:cs="Calibri"/>
              </w:rPr>
              <w:t xml:space="preserve"> provide information on energy flows, emissions and employment arranged in a way fully compatible with concepts, principles and classifications of FIGARO-e Supply, Use and Input-Output tables – thus enabling integrated analyses of environmental, energy, labour and economic issues.</w:t>
            </w:r>
            <w:r w:rsidR="00E43990" w:rsidRPr="0017326D">
              <w:rPr>
                <w:rFonts w:ascii="Calibri" w:hAnsi="Calibri" w:cs="Calibri"/>
              </w:rPr>
              <w:t xml:space="preserve"> </w:t>
            </w:r>
          </w:p>
        </w:tc>
      </w:tr>
      <w:tr w:rsidR="00BD697C" w14:paraId="654ACE87" w14:textId="77777777" w:rsidTr="4480380F">
        <w:tc>
          <w:tcPr>
            <w:tcW w:w="9016" w:type="dxa"/>
          </w:tcPr>
          <w:p w14:paraId="6B83FAA8" w14:textId="2EA8C2CC" w:rsidR="00BD697C" w:rsidRDefault="00BD697C" w:rsidP="00C74EE8">
            <w:pPr>
              <w:jc w:val="both"/>
            </w:pPr>
            <w:r w:rsidRPr="00F634C9">
              <w:rPr>
                <w:b/>
              </w:rPr>
              <w:lastRenderedPageBreak/>
              <w:t>Classification system</w:t>
            </w:r>
            <w:r w:rsidR="00BD21A1" w:rsidRPr="00F634C9">
              <w:rPr>
                <w:b/>
              </w:rPr>
              <w:t>:</w:t>
            </w:r>
            <w:r w:rsidR="00BD21A1">
              <w:t xml:space="preserve"> </w:t>
            </w:r>
            <w:r w:rsidR="00F634C9">
              <w:t xml:space="preserve">An ad-hoc </w:t>
            </w:r>
            <w:r w:rsidR="007F642E">
              <w:t xml:space="preserve">industry/product </w:t>
            </w:r>
            <w:r w:rsidR="00F634C9">
              <w:t>classification system was created under the project FIGARO-</w:t>
            </w:r>
            <w:r w:rsidR="00D8773A">
              <w:t>E3</w:t>
            </w:r>
            <w:r w:rsidR="00F634C9">
              <w:t xml:space="preserve"> consisting in a disaggregation of the FIGARO classification of 64 industries and 64 products based on the </w:t>
            </w:r>
            <w:r w:rsidR="00D8773A">
              <w:t xml:space="preserve">EXIOBASE </w:t>
            </w:r>
            <w:r w:rsidR="00F634C9">
              <w:t xml:space="preserve">classification of </w:t>
            </w:r>
            <w:r w:rsidR="00A16068">
              <w:t xml:space="preserve">163 industries and </w:t>
            </w:r>
            <w:r w:rsidR="00F634C9">
              <w:t>200 products.</w:t>
            </w:r>
          </w:p>
          <w:p w14:paraId="4E8C512D" w14:textId="0BFF77BB" w:rsidR="00673D30" w:rsidRDefault="007F642E" w:rsidP="00C74EE8">
            <w:pPr>
              <w:jc w:val="both"/>
            </w:pPr>
            <w:r>
              <w:t xml:space="preserve">Energy accounts </w:t>
            </w:r>
            <w:r w:rsidR="00CD18D1">
              <w:t>distinguish</w:t>
            </w:r>
            <w:r w:rsidR="00673D30">
              <w:t xml:space="preserve">: </w:t>
            </w:r>
          </w:p>
          <w:p w14:paraId="29581DFB" w14:textId="79F4B40E" w:rsidR="00673D30" w:rsidRPr="00CD18D1" w:rsidRDefault="00673D30" w:rsidP="00673D30">
            <w:pPr>
              <w:pStyle w:val="ListParagraph"/>
              <w:numPr>
                <w:ilvl w:val="0"/>
                <w:numId w:val="23"/>
              </w:numPr>
              <w:jc w:val="both"/>
            </w:pPr>
            <w:r w:rsidRPr="00CD18D1">
              <w:t xml:space="preserve">Supply and Use: the elements of this dimension are </w:t>
            </w:r>
            <w:r w:rsidRPr="00CD18D1">
              <w:rPr>
                <w:rFonts w:cstheme="minorHAnsi"/>
              </w:rPr>
              <w:t xml:space="preserve">Gross energy supply (GES): Supply of all energy products, primary or secondary, by domestic industries; Primary energy supply (PES): Supply of energy products extracted from the environment by domestic industries; Gross energy use (GEU): Use of all energy products, primary or secondary by domestic industries and final consumers such as households; Net energy use (NEU): Use of energy products by domestic end users, including the losses incurred during transformation, distribution, transmission and transport, but excluding exports; </w:t>
            </w:r>
            <w:r w:rsidR="00B80037">
              <w:rPr>
                <w:rFonts w:cstheme="minorHAnsi"/>
              </w:rPr>
              <w:t xml:space="preserve">Final energy use (FEU): </w:t>
            </w:r>
            <w:r w:rsidR="00B80037" w:rsidRPr="00B80037">
              <w:rPr>
                <w:rFonts w:cstheme="minorHAnsi"/>
              </w:rPr>
              <w:t>Use of energy products by non-energy end users</w:t>
            </w:r>
            <w:r w:rsidR="00B80037">
              <w:rPr>
                <w:rFonts w:cstheme="minorHAnsi"/>
              </w:rPr>
              <w:t xml:space="preserve">; Energy industry own use (EOU): </w:t>
            </w:r>
            <w:r w:rsidR="00B80037" w:rsidRPr="00B80037">
              <w:rPr>
                <w:rFonts w:cstheme="minorHAnsi"/>
              </w:rPr>
              <w:t>Final energy consumption by the energy industry</w:t>
            </w:r>
            <w:r w:rsidR="00B80037">
              <w:rPr>
                <w:rFonts w:cstheme="minorHAnsi"/>
              </w:rPr>
              <w:t xml:space="preserve">; Energy losses (LOSS): </w:t>
            </w:r>
            <w:r w:rsidR="00B80037" w:rsidRPr="00B80037">
              <w:rPr>
                <w:rFonts w:cstheme="minorHAnsi"/>
              </w:rPr>
              <w:t>Transformation, distribution, transmission and transport losses</w:t>
            </w:r>
            <w:r w:rsidR="00B80037">
              <w:rPr>
                <w:rFonts w:cstheme="minorHAnsi"/>
              </w:rPr>
              <w:t xml:space="preserve">; </w:t>
            </w:r>
            <w:r w:rsidR="0034571F">
              <w:rPr>
                <w:rFonts w:cstheme="minorHAnsi"/>
              </w:rPr>
              <w:t xml:space="preserve">Non-energy use (NENE): Energy use for non-energetic purposes; </w:t>
            </w:r>
            <w:r w:rsidRPr="00CD18D1">
              <w:rPr>
                <w:rFonts w:cstheme="minorHAnsi"/>
              </w:rPr>
              <w:t>Emission-relevant energy use (EREU): Use of all energy products that lead to air emissions by domestic industries and final consumers such as households.</w:t>
            </w:r>
            <w:r w:rsidR="00B80037">
              <w:rPr>
                <w:rFonts w:cstheme="minorHAnsi"/>
              </w:rPr>
              <w:t xml:space="preserve"> FEU, EOU and LOSS are subcomponents of NEU.</w:t>
            </w:r>
          </w:p>
          <w:p w14:paraId="44B782AC" w14:textId="4DEFDCD3" w:rsidR="00485AC4" w:rsidRPr="001B2EB7" w:rsidRDefault="00673D30" w:rsidP="00485AC4">
            <w:pPr>
              <w:pStyle w:val="ListParagraph"/>
              <w:numPr>
                <w:ilvl w:val="0"/>
                <w:numId w:val="23"/>
              </w:numPr>
              <w:jc w:val="both"/>
            </w:pPr>
            <w:r w:rsidRPr="00CD18D1">
              <w:rPr>
                <w:rFonts w:cstheme="minorHAnsi"/>
              </w:rPr>
              <w:t xml:space="preserve">Energy product: </w:t>
            </w:r>
            <w:r w:rsidR="00CD18D1" w:rsidRPr="00CD18D1">
              <w:rPr>
                <w:rFonts w:cstheme="minorHAnsi"/>
              </w:rPr>
              <w:t xml:space="preserve">The flows are broadly grouped into natural energy inputs (flows from environment to economy) and energy products (flows within economy). </w:t>
            </w:r>
            <w:r w:rsidR="00485AC4">
              <w:t>PES includes 19 types of natural inputs. GES, GEU, NEU</w:t>
            </w:r>
            <w:r w:rsidR="00B80037">
              <w:t>, FEU, EOU, LOSS</w:t>
            </w:r>
            <w:r w:rsidR="0034571F">
              <w:t>, NENE</w:t>
            </w:r>
            <w:bookmarkStart w:id="1" w:name="_GoBack"/>
            <w:bookmarkEnd w:id="1"/>
            <w:r w:rsidR="00485AC4">
              <w:t xml:space="preserve"> and EREU include 63 energy products.</w:t>
            </w:r>
            <w:r w:rsidR="0050268F">
              <w:t xml:space="preserve"> The data is presented as the sum of all energy products or natural inputs. Upon request, the data at energy product and natural input level can be made available to users with an IEA license.</w:t>
            </w:r>
          </w:p>
          <w:p w14:paraId="395F6AF8" w14:textId="14C594DC" w:rsidR="00673D30" w:rsidRDefault="00673D30" w:rsidP="00C74EE8">
            <w:pPr>
              <w:jc w:val="both"/>
            </w:pPr>
            <w:r>
              <w:t xml:space="preserve">GHG emissions contain </w:t>
            </w:r>
            <w:r w:rsidR="005D39F5">
              <w:t xml:space="preserve">four </w:t>
            </w:r>
            <w:r>
              <w:t>types of air pollutants: CO</w:t>
            </w:r>
            <w:r w:rsidRPr="00A312F6">
              <w:rPr>
                <w:vertAlign w:val="subscript"/>
              </w:rPr>
              <w:t>2</w:t>
            </w:r>
            <w:r>
              <w:t>, CH</w:t>
            </w:r>
            <w:r w:rsidRPr="00A312F6">
              <w:rPr>
                <w:vertAlign w:val="subscript"/>
              </w:rPr>
              <w:t>4</w:t>
            </w:r>
            <w:r>
              <w:t>, N</w:t>
            </w:r>
            <w:r w:rsidRPr="00A312F6">
              <w:rPr>
                <w:vertAlign w:val="subscript"/>
              </w:rPr>
              <w:t>2</w:t>
            </w:r>
            <w:r>
              <w:t>O</w:t>
            </w:r>
            <w:r w:rsidR="00AA4A00">
              <w:t xml:space="preserve"> and F-gases</w:t>
            </w:r>
            <w:r>
              <w:t>.</w:t>
            </w:r>
          </w:p>
          <w:p w14:paraId="7807FB90" w14:textId="4F48551C" w:rsidR="00673D30" w:rsidRDefault="00673D30" w:rsidP="00C74EE8">
            <w:pPr>
              <w:jc w:val="both"/>
            </w:pPr>
            <w:r>
              <w:t xml:space="preserve">Labour accounts distinguish employment by gender </w:t>
            </w:r>
            <w:r w:rsidR="00A312F6">
              <w:t xml:space="preserve">(male/female) </w:t>
            </w:r>
            <w:r>
              <w:t>and 3 skill levels</w:t>
            </w:r>
            <w:r w:rsidR="00A312F6">
              <w:t xml:space="preserve"> (low/medium/high).</w:t>
            </w:r>
          </w:p>
        </w:tc>
      </w:tr>
      <w:tr w:rsidR="00BD697C" w14:paraId="1169F779" w14:textId="77777777" w:rsidTr="4480380F">
        <w:tc>
          <w:tcPr>
            <w:tcW w:w="9016" w:type="dxa"/>
          </w:tcPr>
          <w:p w14:paraId="424FFB56" w14:textId="7B308468" w:rsidR="00BD697C" w:rsidRDefault="00BD697C" w:rsidP="00C74EE8">
            <w:pPr>
              <w:jc w:val="both"/>
            </w:pPr>
            <w:r w:rsidRPr="00F634C9">
              <w:rPr>
                <w:b/>
              </w:rPr>
              <w:t>Coverage</w:t>
            </w:r>
            <w:r w:rsidR="00A92D2E" w:rsidRPr="00F634C9">
              <w:rPr>
                <w:b/>
              </w:rPr>
              <w:t xml:space="preserve"> – time / sector</w:t>
            </w:r>
            <w:r w:rsidR="00BD21A1" w:rsidRPr="00F634C9">
              <w:rPr>
                <w:b/>
              </w:rPr>
              <w:t>:</w:t>
            </w:r>
            <w:r w:rsidR="00BD21A1">
              <w:t xml:space="preserve"> </w:t>
            </w:r>
            <w:r w:rsidR="00BD21A1" w:rsidRPr="00BD21A1">
              <w:t>2015 Total economy</w:t>
            </w:r>
          </w:p>
        </w:tc>
      </w:tr>
      <w:tr w:rsidR="00BD697C" w14:paraId="64CB39C3" w14:textId="77777777" w:rsidTr="4480380F">
        <w:tc>
          <w:tcPr>
            <w:tcW w:w="9016" w:type="dxa"/>
          </w:tcPr>
          <w:p w14:paraId="40B6C2AD" w14:textId="2FA5A051" w:rsidR="00F21628" w:rsidRPr="00F21628" w:rsidRDefault="00BD697C" w:rsidP="00F21628">
            <w:pPr>
              <w:jc w:val="both"/>
            </w:pPr>
            <w:r w:rsidRPr="00F21628">
              <w:rPr>
                <w:b/>
              </w:rPr>
              <w:t>Statistical concepts and definitions</w:t>
            </w:r>
            <w:r w:rsidR="00BD21A1" w:rsidRPr="00F21628">
              <w:rPr>
                <w:b/>
              </w:rPr>
              <w:t>:</w:t>
            </w:r>
            <w:r w:rsidR="00F21628">
              <w:rPr>
                <w:b/>
              </w:rPr>
              <w:t xml:space="preserve"> </w:t>
            </w:r>
            <w:r w:rsidR="00F21628" w:rsidRPr="00F21628">
              <w:t xml:space="preserve">Inter-country Supply and </w:t>
            </w:r>
            <w:r w:rsidR="00F21628">
              <w:t>U</w:t>
            </w:r>
            <w:r w:rsidR="00F21628" w:rsidRPr="00F21628">
              <w:t xml:space="preserve">se tables are matrices by industry and product describing production processes and the transactions in products </w:t>
            </w:r>
            <w:r w:rsidR="00F21628">
              <w:t xml:space="preserve">between countries </w:t>
            </w:r>
            <w:r w:rsidR="00F21628" w:rsidRPr="00F21628">
              <w:t>in great detail. These tables show:</w:t>
            </w:r>
          </w:p>
          <w:p w14:paraId="3E572BEF" w14:textId="77777777" w:rsidR="00F21628" w:rsidRPr="00F21628" w:rsidRDefault="00F21628" w:rsidP="00F21628">
            <w:pPr>
              <w:pStyle w:val="NormalWeb"/>
              <w:shd w:val="clear" w:color="auto" w:fill="FFFFFF"/>
              <w:spacing w:before="30" w:beforeAutospacing="0" w:after="30" w:afterAutospacing="0"/>
              <w:rPr>
                <w:rFonts w:asciiTheme="minorHAnsi" w:eastAsiaTheme="minorHAnsi" w:hAnsiTheme="minorHAnsi" w:cstheme="minorBidi"/>
                <w:sz w:val="22"/>
                <w:szCs w:val="22"/>
                <w:lang w:eastAsia="en-US"/>
              </w:rPr>
            </w:pPr>
            <w:r w:rsidRPr="00F21628">
              <w:rPr>
                <w:rFonts w:asciiTheme="minorHAnsi" w:eastAsiaTheme="minorHAnsi" w:hAnsiTheme="minorHAnsi" w:cstheme="minorBidi"/>
                <w:sz w:val="22"/>
                <w:szCs w:val="22"/>
                <w:lang w:eastAsia="en-US"/>
              </w:rPr>
              <w:t>a) the structure of the costs of production and the value added that is generated in the production process;</w:t>
            </w:r>
          </w:p>
          <w:p w14:paraId="313D356F" w14:textId="77777777" w:rsidR="00F21628" w:rsidRPr="00F21628" w:rsidRDefault="00F21628" w:rsidP="00F21628">
            <w:pPr>
              <w:pStyle w:val="NormalWeb"/>
              <w:shd w:val="clear" w:color="auto" w:fill="FFFFFF"/>
              <w:spacing w:before="30" w:beforeAutospacing="0" w:after="30" w:afterAutospacing="0"/>
              <w:rPr>
                <w:rFonts w:asciiTheme="minorHAnsi" w:eastAsiaTheme="minorHAnsi" w:hAnsiTheme="minorHAnsi" w:cstheme="minorBidi"/>
                <w:sz w:val="22"/>
                <w:szCs w:val="22"/>
                <w:lang w:eastAsia="en-US"/>
              </w:rPr>
            </w:pPr>
            <w:r w:rsidRPr="00F21628">
              <w:rPr>
                <w:rFonts w:asciiTheme="minorHAnsi" w:eastAsiaTheme="minorHAnsi" w:hAnsiTheme="minorHAnsi" w:cstheme="minorBidi"/>
                <w:sz w:val="22"/>
                <w:szCs w:val="22"/>
                <w:lang w:eastAsia="en-US"/>
              </w:rPr>
              <w:t>b) the flows of goods and services produced within the national economy and</w:t>
            </w:r>
          </w:p>
          <w:p w14:paraId="1437B35A" w14:textId="7D2B93F6" w:rsidR="00F21628" w:rsidRPr="00F21628" w:rsidRDefault="00F21628" w:rsidP="00F21628">
            <w:pPr>
              <w:pStyle w:val="NormalWeb"/>
              <w:shd w:val="clear" w:color="auto" w:fill="FFFFFF"/>
              <w:spacing w:before="30" w:beforeAutospacing="0" w:after="30" w:afterAutospacing="0"/>
              <w:rPr>
                <w:rFonts w:asciiTheme="minorHAnsi" w:eastAsiaTheme="minorHAnsi" w:hAnsiTheme="minorHAnsi" w:cstheme="minorBidi"/>
                <w:sz w:val="22"/>
                <w:szCs w:val="22"/>
                <w:lang w:eastAsia="en-US"/>
              </w:rPr>
            </w:pPr>
            <w:r w:rsidRPr="00F21628">
              <w:rPr>
                <w:rFonts w:asciiTheme="minorHAnsi" w:eastAsiaTheme="minorHAnsi" w:hAnsiTheme="minorHAnsi" w:cstheme="minorBidi"/>
                <w:sz w:val="22"/>
                <w:szCs w:val="22"/>
                <w:lang w:eastAsia="en-US"/>
              </w:rPr>
              <w:t xml:space="preserve">c) the flows of goods and services with </w:t>
            </w:r>
            <w:r>
              <w:rPr>
                <w:rFonts w:asciiTheme="minorHAnsi" w:eastAsiaTheme="minorHAnsi" w:hAnsiTheme="minorHAnsi" w:cstheme="minorBidi"/>
                <w:sz w:val="22"/>
                <w:szCs w:val="22"/>
                <w:lang w:eastAsia="en-US"/>
              </w:rPr>
              <w:t>different trade partners and the rest of the world</w:t>
            </w:r>
            <w:r w:rsidRPr="00F21628">
              <w:rPr>
                <w:rFonts w:asciiTheme="minorHAnsi" w:eastAsiaTheme="minorHAnsi" w:hAnsiTheme="minorHAnsi" w:cstheme="minorBidi"/>
                <w:sz w:val="22"/>
                <w:szCs w:val="22"/>
                <w:lang w:eastAsia="en-US"/>
              </w:rPr>
              <w:t>.</w:t>
            </w:r>
          </w:p>
          <w:p w14:paraId="37E836DF" w14:textId="6325BBE0" w:rsidR="00F21628" w:rsidRDefault="00F21628" w:rsidP="00F21628">
            <w:pPr>
              <w:pStyle w:val="NormalWeb"/>
              <w:shd w:val="clear" w:color="auto" w:fill="FFFFFF"/>
              <w:spacing w:before="30" w:beforeAutospacing="0" w:after="3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Inter-country</w:t>
            </w:r>
            <w:r w:rsidRPr="00F2162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w:t>
            </w:r>
            <w:r w:rsidRPr="00F21628">
              <w:rPr>
                <w:rFonts w:asciiTheme="minorHAnsi" w:eastAsiaTheme="minorHAnsi" w:hAnsiTheme="minorHAnsi" w:cstheme="minorBidi"/>
                <w:sz w:val="22"/>
                <w:szCs w:val="22"/>
                <w:lang w:eastAsia="en-US"/>
              </w:rPr>
              <w:t>nput-</w:t>
            </w:r>
            <w:r>
              <w:rPr>
                <w:rFonts w:asciiTheme="minorHAnsi" w:eastAsiaTheme="minorHAnsi" w:hAnsiTheme="minorHAnsi" w:cstheme="minorBidi"/>
                <w:sz w:val="22"/>
                <w:szCs w:val="22"/>
                <w:lang w:eastAsia="en-US"/>
              </w:rPr>
              <w:t>O</w:t>
            </w:r>
            <w:r w:rsidRPr="00F21628">
              <w:rPr>
                <w:rFonts w:asciiTheme="minorHAnsi" w:eastAsiaTheme="minorHAnsi" w:hAnsiTheme="minorHAnsi" w:cstheme="minorBidi"/>
                <w:sz w:val="22"/>
                <w:szCs w:val="22"/>
                <w:lang w:eastAsia="en-US"/>
              </w:rPr>
              <w:t>utput table</w:t>
            </w:r>
            <w:r>
              <w:rPr>
                <w:rFonts w:asciiTheme="minorHAnsi" w:eastAsiaTheme="minorHAnsi" w:hAnsiTheme="minorHAnsi" w:cstheme="minorBidi"/>
                <w:sz w:val="22"/>
                <w:szCs w:val="22"/>
                <w:lang w:eastAsia="en-US"/>
              </w:rPr>
              <w:t>s</w:t>
            </w:r>
            <w:r w:rsidRPr="00F2162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are</w:t>
            </w:r>
            <w:r w:rsidRPr="00F21628">
              <w:rPr>
                <w:rFonts w:asciiTheme="minorHAnsi" w:eastAsiaTheme="minorHAnsi" w:hAnsiTheme="minorHAnsi" w:cstheme="minorBidi"/>
                <w:sz w:val="22"/>
                <w:szCs w:val="22"/>
                <w:lang w:eastAsia="en-US"/>
              </w:rPr>
              <w:t xml:space="preserve"> product-by-product </w:t>
            </w:r>
            <w:r>
              <w:rPr>
                <w:rFonts w:asciiTheme="minorHAnsi" w:eastAsiaTheme="minorHAnsi" w:hAnsiTheme="minorHAnsi" w:cstheme="minorBidi"/>
                <w:sz w:val="22"/>
                <w:szCs w:val="22"/>
                <w:lang w:eastAsia="en-US"/>
              </w:rPr>
              <w:t xml:space="preserve">(model B) </w:t>
            </w:r>
            <w:r w:rsidRPr="00F21628">
              <w:rPr>
                <w:rFonts w:asciiTheme="minorHAnsi" w:eastAsiaTheme="minorHAnsi" w:hAnsiTheme="minorHAnsi" w:cstheme="minorBidi"/>
                <w:sz w:val="22"/>
                <w:szCs w:val="22"/>
                <w:lang w:eastAsia="en-US"/>
              </w:rPr>
              <w:t xml:space="preserve">or industry-by-industry </w:t>
            </w:r>
            <w:r>
              <w:rPr>
                <w:rFonts w:asciiTheme="minorHAnsi" w:eastAsiaTheme="minorHAnsi" w:hAnsiTheme="minorHAnsi" w:cstheme="minorBidi"/>
                <w:sz w:val="22"/>
                <w:szCs w:val="22"/>
                <w:lang w:eastAsia="en-US"/>
              </w:rPr>
              <w:t xml:space="preserve">(model D) </w:t>
            </w:r>
            <w:r w:rsidRPr="00F21628">
              <w:rPr>
                <w:rFonts w:asciiTheme="minorHAnsi" w:eastAsiaTheme="minorHAnsi" w:hAnsiTheme="minorHAnsi" w:cstheme="minorBidi"/>
                <w:sz w:val="22"/>
                <w:szCs w:val="22"/>
                <w:lang w:eastAsia="en-US"/>
              </w:rPr>
              <w:t>matri</w:t>
            </w:r>
            <w:r>
              <w:rPr>
                <w:rFonts w:asciiTheme="minorHAnsi" w:eastAsiaTheme="minorHAnsi" w:hAnsiTheme="minorHAnsi" w:cstheme="minorBidi"/>
                <w:sz w:val="22"/>
                <w:szCs w:val="22"/>
                <w:lang w:eastAsia="en-US"/>
              </w:rPr>
              <w:t>ces</w:t>
            </w:r>
            <w:r w:rsidRPr="00F21628">
              <w:rPr>
                <w:rFonts w:asciiTheme="minorHAnsi" w:eastAsiaTheme="minorHAnsi" w:hAnsiTheme="minorHAnsi" w:cstheme="minorBidi"/>
                <w:sz w:val="22"/>
                <w:szCs w:val="22"/>
                <w:lang w:eastAsia="en-US"/>
              </w:rPr>
              <w:t xml:space="preserve"> describing the production processes and the transactions in products </w:t>
            </w:r>
            <w:r>
              <w:rPr>
                <w:rFonts w:asciiTheme="minorHAnsi" w:eastAsiaTheme="minorHAnsi" w:hAnsiTheme="minorHAnsi" w:cstheme="minorBidi"/>
                <w:sz w:val="22"/>
                <w:szCs w:val="22"/>
                <w:lang w:eastAsia="en-US"/>
              </w:rPr>
              <w:t xml:space="preserve">between industries in different countries </w:t>
            </w:r>
            <w:r w:rsidRPr="00F21628">
              <w:rPr>
                <w:rFonts w:asciiTheme="minorHAnsi" w:eastAsiaTheme="minorHAnsi" w:hAnsiTheme="minorHAnsi" w:cstheme="minorBidi"/>
                <w:sz w:val="22"/>
                <w:szCs w:val="22"/>
                <w:lang w:eastAsia="en-US"/>
              </w:rPr>
              <w:t>in great detail. A symmetric input-output table rearranges both supply and use in a single table with identical classification of products (or industries respectively) employed for both rows and columns.</w:t>
            </w:r>
          </w:p>
          <w:p w14:paraId="17ADDFB7" w14:textId="77777777" w:rsidR="00485AC4" w:rsidRDefault="00485AC4" w:rsidP="00485AC4">
            <w:pPr>
              <w:spacing w:before="60" w:after="60"/>
              <w:jc w:val="both"/>
            </w:pPr>
            <w:r w:rsidRPr="002E539F">
              <w:t xml:space="preserve">The energy extensions are related to </w:t>
            </w:r>
            <w:r>
              <w:t>the System of Environmental-Economic Accounting (SEEA) although they differ in the format from energy accounts. In this context, energy extensions are constructed to be used directly in input-output analysis, while energy accounts act as a standalone dataset that can also be adapted for input-output analysis.</w:t>
            </w:r>
          </w:p>
          <w:p w14:paraId="45B0A9B7" w14:textId="7BF156F1" w:rsidR="00485AC4" w:rsidRDefault="00485AC4" w:rsidP="00485AC4">
            <w:pPr>
              <w:spacing w:before="60" w:after="60"/>
              <w:jc w:val="both"/>
            </w:pPr>
            <w:r>
              <w:t xml:space="preserve">The definitions of the </w:t>
            </w:r>
            <w:r w:rsidR="00D8773A">
              <w:t xml:space="preserve">energy </w:t>
            </w:r>
            <w:r>
              <w:t>indicators covered can be found in Usubiaga-</w:t>
            </w:r>
            <w:proofErr w:type="spellStart"/>
            <w:r>
              <w:t>Liaño</w:t>
            </w:r>
            <w:proofErr w:type="spellEnd"/>
            <w:r>
              <w:t xml:space="preserve"> et al. 2021. The document also provides information on the double accounting related to the use of some of the extensions. </w:t>
            </w:r>
          </w:p>
          <w:p w14:paraId="3010C985" w14:textId="59FA7666" w:rsidR="00485AC4" w:rsidRDefault="00485AC4" w:rsidP="00485AC4">
            <w:pPr>
              <w:spacing w:before="60" w:after="60"/>
              <w:jc w:val="both"/>
            </w:pPr>
            <w:r>
              <w:t xml:space="preserve">The energy extensions </w:t>
            </w:r>
            <w:r w:rsidRPr="00D877A2">
              <w:t xml:space="preserve">record </w:t>
            </w:r>
            <w:r>
              <w:t>the energy flows</w:t>
            </w:r>
            <w:r w:rsidRPr="00D877A2">
              <w:t xml:space="preserve"> </w:t>
            </w:r>
            <w:r>
              <w:t>associated with</w:t>
            </w:r>
            <w:r w:rsidRPr="00D877A2">
              <w:t xml:space="preserve"> the activities of all resident units, regardless of where the</w:t>
            </w:r>
            <w:r>
              <w:t xml:space="preserve"> energy use or supply</w:t>
            </w:r>
            <w:r w:rsidRPr="00D877A2">
              <w:t xml:space="preserve"> actually occur</w:t>
            </w:r>
            <w:r>
              <w:t>s</w:t>
            </w:r>
            <w:r w:rsidRPr="00D877A2">
              <w:t xml:space="preserve"> geographically. </w:t>
            </w:r>
          </w:p>
          <w:p w14:paraId="03AC2853" w14:textId="3EAD4F85" w:rsidR="00485AC4" w:rsidRDefault="00485AC4" w:rsidP="00485AC4">
            <w:pPr>
              <w:spacing w:before="60" w:after="60"/>
              <w:jc w:val="both"/>
            </w:pPr>
            <w:r>
              <w:t xml:space="preserve">Air emission extensions record the flows of GHGs emitted by resident units and flowing into the atmosphere. Air emissions accounts record emissions arising from the activities of all resident units, </w:t>
            </w:r>
            <w:r>
              <w:lastRenderedPageBreak/>
              <w:t>regardless of where these emissions actually occur geographically. Air emissions accounts have the same system boundaries as ESA and are also based on the residence principle.</w:t>
            </w:r>
          </w:p>
          <w:p w14:paraId="31EE3AC0" w14:textId="77777777" w:rsidR="00BD21A1" w:rsidRDefault="00485AC4" w:rsidP="00485AC4">
            <w:pPr>
              <w:spacing w:before="60" w:after="60"/>
              <w:jc w:val="both"/>
            </w:pPr>
            <w:r>
              <w:t>Natural flows of GHGs are excluded e.g. volcanos, forest fires. Also excluded are air emissions arising from land use, land use changes and forestry as well as any indirect emissions.</w:t>
            </w:r>
          </w:p>
          <w:p w14:paraId="4A882A4A" w14:textId="7DAC0E36" w:rsidR="00E9345F" w:rsidRDefault="00E9345F" w:rsidP="00485AC4">
            <w:pPr>
              <w:spacing w:before="60" w:after="60"/>
              <w:jc w:val="both"/>
            </w:pPr>
            <w:r w:rsidRPr="00E671E7">
              <w:rPr>
                <w:lang w:val="es-AR"/>
              </w:rPr>
              <w:t xml:space="preserve">Usubiaga-Liaño, A., Arto, I., &amp; Acosta-Fernández, J. (2021). </w:t>
            </w:r>
            <w:r w:rsidRPr="008E0187">
              <w:t>Double accounting in energy footprint and related assessments: How common is it and what are the consequences? Energy, 222, 119891</w:t>
            </w:r>
          </w:p>
        </w:tc>
      </w:tr>
      <w:tr w:rsidR="00A92D2E" w14:paraId="178F81DE" w14:textId="77777777" w:rsidTr="4480380F">
        <w:tc>
          <w:tcPr>
            <w:tcW w:w="9016" w:type="dxa"/>
          </w:tcPr>
          <w:p w14:paraId="34A0CAC4" w14:textId="1D7D81F2" w:rsidR="00A92D2E" w:rsidRDefault="00A92D2E" w:rsidP="00C74EE8">
            <w:pPr>
              <w:jc w:val="both"/>
            </w:pPr>
            <w:r w:rsidRPr="00FE1B75">
              <w:rPr>
                <w:b/>
              </w:rPr>
              <w:lastRenderedPageBreak/>
              <w:t>Reference area</w:t>
            </w:r>
            <w:r w:rsidR="00BD21A1" w:rsidRPr="00FE1B75">
              <w:rPr>
                <w:b/>
              </w:rPr>
              <w:t>:</w:t>
            </w:r>
            <w:r w:rsidR="00BD21A1">
              <w:t xml:space="preserve"> </w:t>
            </w:r>
            <w:r w:rsidR="00BD21A1" w:rsidRPr="00BD21A1">
              <w:t xml:space="preserve">EU Member States plus Argentina, Australia, Brazil, Canada, Switzerland, China (except Hong Kong), United Kingdom, Indonesia, India, Japan, South Korea, Mexico, Norway, Russia, Saudi Arabia, </w:t>
            </w:r>
            <w:proofErr w:type="spellStart"/>
            <w:r w:rsidR="00BD21A1" w:rsidRPr="00BD21A1">
              <w:t>Türkiye</w:t>
            </w:r>
            <w:proofErr w:type="spellEnd"/>
            <w:r w:rsidR="00BD21A1" w:rsidRPr="00BD21A1">
              <w:t>, United States, South Africa</w:t>
            </w:r>
            <w:r w:rsidR="00632D6A">
              <w:t xml:space="preserve"> and</w:t>
            </w:r>
            <w:r w:rsidR="00BD21A1" w:rsidRPr="00BD21A1">
              <w:t xml:space="preserve"> Rest of the World</w:t>
            </w:r>
          </w:p>
        </w:tc>
      </w:tr>
      <w:tr w:rsidR="00A92D2E" w14:paraId="081F719B" w14:textId="77777777" w:rsidTr="4480380F">
        <w:tc>
          <w:tcPr>
            <w:tcW w:w="9016" w:type="dxa"/>
          </w:tcPr>
          <w:p w14:paraId="25591592" w14:textId="77777777" w:rsidR="00A92D2E" w:rsidRDefault="00A92D2E" w:rsidP="00C74EE8">
            <w:pPr>
              <w:jc w:val="both"/>
              <w:rPr>
                <w:b/>
              </w:rPr>
            </w:pPr>
            <w:r w:rsidRPr="00F634C9">
              <w:rPr>
                <w:b/>
              </w:rPr>
              <w:t>Unit of measure</w:t>
            </w:r>
            <w:r w:rsidR="00BD21A1" w:rsidRPr="00F634C9">
              <w:rPr>
                <w:b/>
              </w:rPr>
              <w:t>:</w:t>
            </w:r>
          </w:p>
          <w:p w14:paraId="659D3B4D" w14:textId="1E1EEAF7" w:rsidR="00485AC4" w:rsidRDefault="00485AC4" w:rsidP="00485AC4">
            <w:pPr>
              <w:jc w:val="both"/>
            </w:pPr>
            <w:r w:rsidRPr="00BD21A1">
              <w:t xml:space="preserve">Data </w:t>
            </w:r>
            <w:r>
              <w:t xml:space="preserve">in the Inter-country Supply, Use and Input- Output tables </w:t>
            </w:r>
            <w:r w:rsidRPr="00BD21A1">
              <w:t>are presented in million</w:t>
            </w:r>
            <w:r>
              <w:t xml:space="preserve"> e</w:t>
            </w:r>
            <w:r w:rsidRPr="00BD21A1">
              <w:t>uro</w:t>
            </w:r>
            <w:r>
              <w:t xml:space="preserve"> </w:t>
            </w:r>
            <w:r w:rsidRPr="00BD21A1">
              <w:t>in current prices</w:t>
            </w:r>
            <w:r>
              <w:t xml:space="preserve">. </w:t>
            </w:r>
          </w:p>
          <w:p w14:paraId="5BF8E89D" w14:textId="77777777" w:rsidR="00485AC4" w:rsidRDefault="00485AC4" w:rsidP="00485AC4">
            <w:pPr>
              <w:jc w:val="both"/>
            </w:pPr>
            <w:r>
              <w:t xml:space="preserve">Data in the Energy accounts are presented in Terajoules (TJ). </w:t>
            </w:r>
          </w:p>
          <w:p w14:paraId="529A64F2" w14:textId="5D935000" w:rsidR="00485AC4" w:rsidRDefault="00485AC4" w:rsidP="00A97547">
            <w:pPr>
              <w:jc w:val="both"/>
            </w:pPr>
            <w:r>
              <w:t xml:space="preserve">Data in GHG emissions accounts are presented in </w:t>
            </w:r>
            <w:r w:rsidR="00A97547">
              <w:t xml:space="preserve">two files. One is given in </w:t>
            </w:r>
            <w:proofErr w:type="spellStart"/>
            <w:r w:rsidR="00A97547">
              <w:t>kt</w:t>
            </w:r>
            <w:proofErr w:type="spellEnd"/>
            <w:r w:rsidR="00A97547">
              <w:t xml:space="preserve"> CO2e using the </w:t>
            </w:r>
            <w:r w:rsidR="00A97547" w:rsidRPr="006B5651">
              <w:t>GWP100 factor</w:t>
            </w:r>
            <w:r w:rsidR="00A97547">
              <w:t>s</w:t>
            </w:r>
            <w:r w:rsidR="00A97547" w:rsidRPr="006B5651">
              <w:t xml:space="preserve"> from</w:t>
            </w:r>
            <w:r w:rsidR="00A97547">
              <w:t xml:space="preserve"> the 5</w:t>
            </w:r>
            <w:r w:rsidR="00A97547" w:rsidRPr="006B5651">
              <w:rPr>
                <w:vertAlign w:val="superscript"/>
              </w:rPr>
              <w:t>th</w:t>
            </w:r>
            <w:r w:rsidR="00A97547">
              <w:t xml:space="preserve"> Assessment Report of the IPCC. In the second one, data is given in </w:t>
            </w:r>
            <w:proofErr w:type="spellStart"/>
            <w:r w:rsidR="00132A3A">
              <w:t>kt</w:t>
            </w:r>
            <w:proofErr w:type="spellEnd"/>
            <w:r w:rsidR="00132A3A">
              <w:t xml:space="preserve"> for CO</w:t>
            </w:r>
            <w:r w:rsidR="00132A3A" w:rsidRPr="00D806A7">
              <w:rPr>
                <w:vertAlign w:val="subscript"/>
              </w:rPr>
              <w:t>2</w:t>
            </w:r>
            <w:r w:rsidR="00132A3A">
              <w:t>, CH</w:t>
            </w:r>
            <w:r w:rsidR="00132A3A" w:rsidRPr="00D806A7">
              <w:rPr>
                <w:vertAlign w:val="subscript"/>
              </w:rPr>
              <w:t>4</w:t>
            </w:r>
            <w:r w:rsidR="00132A3A">
              <w:t xml:space="preserve"> and N</w:t>
            </w:r>
            <w:r w:rsidR="00132A3A" w:rsidRPr="00D806A7">
              <w:rPr>
                <w:vertAlign w:val="subscript"/>
              </w:rPr>
              <w:t>2</w:t>
            </w:r>
            <w:r w:rsidR="00132A3A">
              <w:t xml:space="preserve">O, and in </w:t>
            </w:r>
            <w:proofErr w:type="spellStart"/>
            <w:r w:rsidR="00132A3A">
              <w:t>kt</w:t>
            </w:r>
            <w:proofErr w:type="spellEnd"/>
            <w:r w:rsidR="00132A3A">
              <w:t xml:space="preserve"> </w:t>
            </w:r>
            <w:r>
              <w:t>CO</w:t>
            </w:r>
            <w:r w:rsidRPr="00440D12">
              <w:rPr>
                <w:vertAlign w:val="subscript"/>
              </w:rPr>
              <w:t>2</w:t>
            </w:r>
            <w:r>
              <w:t>e</w:t>
            </w:r>
            <w:r w:rsidR="009A6B6F">
              <w:t xml:space="preserve"> for F-gases</w:t>
            </w:r>
            <w:r>
              <w:t xml:space="preserve">. Data in Employment accounts are presented in thousand (k) persons. </w:t>
            </w:r>
          </w:p>
        </w:tc>
      </w:tr>
      <w:tr w:rsidR="00A92D2E" w14:paraId="1E488462" w14:textId="77777777" w:rsidTr="4480380F">
        <w:tc>
          <w:tcPr>
            <w:tcW w:w="9016" w:type="dxa"/>
          </w:tcPr>
          <w:p w14:paraId="26762A7B" w14:textId="21684FD3" w:rsidR="00A92D2E" w:rsidRDefault="00A92D2E" w:rsidP="00C74EE8">
            <w:pPr>
              <w:jc w:val="both"/>
            </w:pPr>
            <w:r w:rsidRPr="00F634C9">
              <w:rPr>
                <w:b/>
              </w:rPr>
              <w:t>Reference period</w:t>
            </w:r>
            <w:r w:rsidR="00BD21A1" w:rsidRPr="00F634C9">
              <w:rPr>
                <w:b/>
              </w:rPr>
              <w:t>:</w:t>
            </w:r>
            <w:r w:rsidR="00BD21A1">
              <w:t xml:space="preserve"> </w:t>
            </w:r>
            <w:r w:rsidR="00BD21A1" w:rsidRPr="00BD21A1">
              <w:t>The reference period is the calendar year.  </w:t>
            </w:r>
          </w:p>
        </w:tc>
      </w:tr>
      <w:tr w:rsidR="00380E85" w14:paraId="16E073DA" w14:textId="77777777" w:rsidTr="4480380F">
        <w:tc>
          <w:tcPr>
            <w:tcW w:w="9016" w:type="dxa"/>
          </w:tcPr>
          <w:p w14:paraId="2DAE6835" w14:textId="3342B064" w:rsidR="00380E85" w:rsidRPr="00380E85" w:rsidRDefault="00380E85" w:rsidP="00B47156">
            <w:pPr>
              <w:jc w:val="both"/>
            </w:pPr>
            <w:r w:rsidRPr="00380E85">
              <w:rPr>
                <w:b/>
              </w:rPr>
              <w:t>Format:</w:t>
            </w:r>
            <w:r>
              <w:t xml:space="preserve"> </w:t>
            </w:r>
            <w:r w:rsidR="00B47156">
              <w:t>Inter-country Supply, Use, and Input-Output tables, Energy and Emission accounts, and Labour accounts are provided as CSV files with UTF-8 encoding and a comma delimiter. Classifications are available in an XLSX file, and the code is in GAMS.</w:t>
            </w:r>
          </w:p>
        </w:tc>
      </w:tr>
      <w:tr w:rsidR="00A92D2E" w14:paraId="7AB10F3C" w14:textId="77777777" w:rsidTr="4480380F">
        <w:tc>
          <w:tcPr>
            <w:tcW w:w="9016" w:type="dxa"/>
          </w:tcPr>
          <w:p w14:paraId="578DEC5A" w14:textId="48470C11" w:rsidR="00A92D2E" w:rsidRPr="00F634C9" w:rsidRDefault="00A92D2E" w:rsidP="00C74EE8">
            <w:pPr>
              <w:jc w:val="both"/>
              <w:rPr>
                <w:b/>
              </w:rPr>
            </w:pPr>
            <w:r w:rsidRPr="00F634C9">
              <w:rPr>
                <w:b/>
              </w:rPr>
              <w:t>Annexes</w:t>
            </w:r>
          </w:p>
        </w:tc>
      </w:tr>
      <w:tr w:rsidR="000F056E" w14:paraId="1BB375B5" w14:textId="77777777" w:rsidTr="4480380F">
        <w:tc>
          <w:tcPr>
            <w:tcW w:w="9016" w:type="dxa"/>
          </w:tcPr>
          <w:p w14:paraId="3B1DA4EC" w14:textId="449694C5" w:rsidR="000F056E" w:rsidRDefault="000F056E" w:rsidP="00C74EE8">
            <w:pPr>
              <w:jc w:val="both"/>
            </w:pPr>
            <w:r w:rsidRPr="00F634C9">
              <w:rPr>
                <w:b/>
              </w:rPr>
              <w:t>Assumptions and methods used to fill in the gaps</w:t>
            </w:r>
            <w:r w:rsidR="00485AC4">
              <w:rPr>
                <w:b/>
              </w:rPr>
              <w:t xml:space="preserve">: </w:t>
            </w:r>
            <w:r w:rsidR="00485AC4" w:rsidRPr="005A0C42">
              <w:t>The detailed methodology is described in</w:t>
            </w:r>
            <w:r w:rsidR="005D39F5">
              <w:t>:</w:t>
            </w:r>
          </w:p>
          <w:p w14:paraId="04A07BA1" w14:textId="50D4FD4B" w:rsidR="00D8773A" w:rsidRPr="00796C81" w:rsidRDefault="00796C81" w:rsidP="00C74EE8">
            <w:pPr>
              <w:jc w:val="both"/>
            </w:pPr>
            <w:proofErr w:type="spellStart"/>
            <w:r w:rsidRPr="0034571F">
              <w:rPr>
                <w:lang w:val="es-ES"/>
              </w:rPr>
              <w:t>Cazcarro</w:t>
            </w:r>
            <w:proofErr w:type="spellEnd"/>
            <w:r w:rsidRPr="0034571F">
              <w:rPr>
                <w:lang w:val="es-ES"/>
              </w:rPr>
              <w:t>, I., Usubiaga-Li</w:t>
            </w:r>
            <w:r w:rsidRPr="00796C81">
              <w:rPr>
                <w:lang w:val="es-ES"/>
              </w:rPr>
              <w:t xml:space="preserve">año, A., Román, M. V., Piñero, P., </w:t>
            </w:r>
            <w:proofErr w:type="spellStart"/>
            <w:r w:rsidRPr="00796C81">
              <w:rPr>
                <w:lang w:val="es-ES"/>
              </w:rPr>
              <w:t>Dietzenbacher</w:t>
            </w:r>
            <w:proofErr w:type="spellEnd"/>
            <w:r w:rsidRPr="00796C81">
              <w:rPr>
                <w:lang w:val="es-ES"/>
              </w:rPr>
              <w:t>, E., Rueda-</w:t>
            </w:r>
            <w:proofErr w:type="spellStart"/>
            <w:r w:rsidRPr="00796C81">
              <w:rPr>
                <w:lang w:val="es-ES"/>
              </w:rPr>
              <w:t>Cantuche</w:t>
            </w:r>
            <w:proofErr w:type="spellEnd"/>
            <w:r w:rsidRPr="00796C81">
              <w:rPr>
                <w:lang w:val="es-ES"/>
              </w:rPr>
              <w:t>, J. M., &amp; Arto, I. (</w:t>
            </w:r>
            <w:r>
              <w:rPr>
                <w:lang w:val="es-ES"/>
              </w:rPr>
              <w:t>2024</w:t>
            </w:r>
            <w:r w:rsidRPr="00796C81">
              <w:rPr>
                <w:lang w:val="es-ES"/>
              </w:rPr>
              <w:t xml:space="preserve">). </w:t>
            </w:r>
            <w:r w:rsidRPr="00796C81">
              <w:t>FIGARO-E3: A high resolution extended multi-regional input-output database consistent with official statistics. Scientific Data.</w:t>
            </w:r>
          </w:p>
        </w:tc>
      </w:tr>
      <w:bookmarkEnd w:id="0"/>
    </w:tbl>
    <w:p w14:paraId="68863C25" w14:textId="43308249" w:rsidR="00FC07A1" w:rsidRDefault="00FC07A1" w:rsidP="00C74EE8">
      <w:pPr>
        <w:jc w:val="both"/>
      </w:pPr>
    </w:p>
    <w:p w14:paraId="37030C3A" w14:textId="0AF8E185" w:rsidR="00682DF9" w:rsidRDefault="00682DF9" w:rsidP="00C74EE8">
      <w:pPr>
        <w:jc w:val="both"/>
      </w:pPr>
    </w:p>
    <w:p w14:paraId="08F053A2" w14:textId="06C516B1" w:rsidR="00682DF9" w:rsidRDefault="00682DF9" w:rsidP="00C74EE8">
      <w:pPr>
        <w:jc w:val="both"/>
      </w:pPr>
    </w:p>
    <w:p w14:paraId="5204378D" w14:textId="77777777" w:rsidR="00682DF9" w:rsidRDefault="00682DF9" w:rsidP="00C74EE8">
      <w:pPr>
        <w:jc w:val="both"/>
      </w:pPr>
    </w:p>
    <w:sectPr w:rsidR="00682DF9" w:rsidSect="001D0059">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FDD9AD" w16cex:dateUtc="2021-09-28T16:13:00Z"/>
  <w16cex:commentExtensible w16cex:durableId="24FDDB32" w16cex:dateUtc="2021-09-28T16:19:00Z"/>
  <w16cex:commentExtensible w16cex:durableId="24FDDB55" w16cex:dateUtc="2021-09-28T16:20:00Z"/>
  <w16cex:commentExtensible w16cex:durableId="24FDD946" w16cex:dateUtc="2021-09-28T16:11:00Z"/>
  <w16cex:commentExtensible w16cex:durableId="24FDD92C" w16cex:dateUtc="2021-09-28T16:10:00Z"/>
  <w16cex:commentExtensible w16cex:durableId="24FDD8E9" w16cex:dateUtc="2021-09-28T16:09:00Z"/>
  <w16cex:commentExtensible w16cex:durableId="24FDD793" w16cex:dateUtc="2021-09-28T16:04:00Z"/>
  <w16cex:commentExtensible w16cex:durableId="24FDD75C" w16cex:dateUtc="2021-09-28T16:03:00Z"/>
  <w16cex:commentExtensible w16cex:durableId="24FDDBB5" w16cex:dateUtc="2021-09-28T16:21:00Z"/>
  <w16cex:commentExtensible w16cex:durableId="24FDD742" w16cex:dateUtc="2021-09-28T16:02:00Z"/>
  <w16cex:commentExtensible w16cex:durableId="24FDD728" w16cex:dateUtc="2021-09-28T16:02:00Z"/>
  <w16cex:commentExtensible w16cex:durableId="24FDD655" w16cex:dateUtc="2021-09-28T15:58:00Z"/>
  <w16cex:commentExtensible w16cex:durableId="24FDD644" w16cex:dateUtc="2021-09-28T15:58:00Z"/>
  <w16cex:commentExtensible w16cex:durableId="24FDCB3C" w16cex:dateUtc="2021-09-28T15:11:00Z"/>
  <w16cex:commentExtensible w16cex:durableId="24FDCD9C" w16cex:dateUtc="2021-09-28T15:21:00Z"/>
  <w16cex:commentExtensible w16cex:durableId="24FDCE1C" w16cex:dateUtc="2021-09-28T15:23:00Z"/>
  <w16cex:commentExtensible w16cex:durableId="223D69A2" w16cex:dateUtc="2022-01-28T08:39:54.361Z"/>
  <w16cex:commentExtensible w16cex:durableId="333217E7" w16cex:dateUtc="2022-01-28T08:41:54.464Z"/>
  <w16cex:commentExtensible w16cex:durableId="2CC53337" w16cex:dateUtc="2022-02-14T08:41:33.452Z"/>
  <w16cex:commentExtensible w16cex:durableId="699F53AE" w16cex:dateUtc="2022-02-14T08:43:19.98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6D0F9" w14:textId="77777777" w:rsidR="00566FB6" w:rsidRDefault="00566FB6" w:rsidP="00831FC0">
      <w:pPr>
        <w:spacing w:after="0" w:line="240" w:lineRule="auto"/>
      </w:pPr>
      <w:r>
        <w:separator/>
      </w:r>
    </w:p>
  </w:endnote>
  <w:endnote w:type="continuationSeparator" w:id="0">
    <w:p w14:paraId="2AE23636" w14:textId="77777777" w:rsidR="00566FB6" w:rsidRDefault="00566FB6" w:rsidP="0083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imesLTStd-Roman">
    <w:altName w:val="Microsoft JhengHei"/>
    <w:panose1 w:val="00000000000000000000"/>
    <w:charset w:val="4D"/>
    <w:family w:val="auto"/>
    <w:notTrueType/>
    <w:pitch w:val="default"/>
    <w:sig w:usb0="00000000" w:usb1="08080000" w:usb2="00000010" w:usb3="00000000" w:csb0="00100001" w:csb1="00000000"/>
  </w:font>
  <w:font w:name="TimesLTStd-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5A32A" w14:textId="77777777" w:rsidR="00566FB6" w:rsidRDefault="00566FB6" w:rsidP="00831FC0">
      <w:pPr>
        <w:spacing w:after="0" w:line="240" w:lineRule="auto"/>
      </w:pPr>
      <w:r>
        <w:separator/>
      </w:r>
    </w:p>
  </w:footnote>
  <w:footnote w:type="continuationSeparator" w:id="0">
    <w:p w14:paraId="049ED360" w14:textId="77777777" w:rsidR="00566FB6" w:rsidRDefault="00566FB6" w:rsidP="0083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C50"/>
    <w:multiLevelType w:val="hybridMultilevel"/>
    <w:tmpl w:val="FFC8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B4C30"/>
    <w:multiLevelType w:val="hybridMultilevel"/>
    <w:tmpl w:val="8FE0F6C0"/>
    <w:lvl w:ilvl="0" w:tplc="B67E9716">
      <w:start w:val="1"/>
      <w:numFmt w:val="decimal"/>
      <w:pStyle w:val="Heading2"/>
      <w:lvlText w:val="T.%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44BF4"/>
    <w:multiLevelType w:val="hybridMultilevel"/>
    <w:tmpl w:val="3396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87F42"/>
    <w:multiLevelType w:val="hybridMultilevel"/>
    <w:tmpl w:val="99F6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57612"/>
    <w:multiLevelType w:val="hybridMultilevel"/>
    <w:tmpl w:val="8E4EC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264D7"/>
    <w:multiLevelType w:val="hybridMultilevel"/>
    <w:tmpl w:val="BF86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B22C8"/>
    <w:multiLevelType w:val="hybridMultilevel"/>
    <w:tmpl w:val="44EA54F0"/>
    <w:lvl w:ilvl="0" w:tplc="E3BC54D2">
      <w:start w:val="1"/>
      <w:numFmt w:val="lowerRoman"/>
      <w:lvlText w:val="%1."/>
      <w:lvlJc w:val="right"/>
      <w:pPr>
        <w:ind w:left="502" w:hanging="360"/>
      </w:pPr>
      <w:rPr>
        <w:rFonts w:ascii="Times Roman" w:hAnsi="Times Roman" w:hint="default"/>
        <w: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8823629"/>
    <w:multiLevelType w:val="multilevel"/>
    <w:tmpl w:val="B98A6B40"/>
    <w:lvl w:ilvl="0">
      <w:start w:val="1"/>
      <w:numFmt w:val="upperRoman"/>
      <w:pStyle w:val="Heading1"/>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CD01B3"/>
    <w:multiLevelType w:val="hybridMultilevel"/>
    <w:tmpl w:val="BF3E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32810"/>
    <w:multiLevelType w:val="hybridMultilevel"/>
    <w:tmpl w:val="94F05E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D23AA"/>
    <w:multiLevelType w:val="hybridMultilevel"/>
    <w:tmpl w:val="B03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67049"/>
    <w:multiLevelType w:val="hybridMultilevel"/>
    <w:tmpl w:val="19F2DFCA"/>
    <w:lvl w:ilvl="0" w:tplc="3918BB4E">
      <w:start w:val="1"/>
      <w:numFmt w:val="lowerRoman"/>
      <w:pStyle w:val="ListNumber"/>
      <w:lvlText w:val="(%1)"/>
      <w:lvlJc w:val="left"/>
      <w:pPr>
        <w:tabs>
          <w:tab w:val="num" w:pos="1195"/>
        </w:tabs>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15:restartNumberingAfterBreak="0">
    <w:nsid w:val="448577DC"/>
    <w:multiLevelType w:val="hybridMultilevel"/>
    <w:tmpl w:val="2A349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617D4F"/>
    <w:multiLevelType w:val="hybridMultilevel"/>
    <w:tmpl w:val="11C41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807EAC"/>
    <w:multiLevelType w:val="hybridMultilevel"/>
    <w:tmpl w:val="C8C6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938BF"/>
    <w:multiLevelType w:val="hybridMultilevel"/>
    <w:tmpl w:val="9662D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F7DE5"/>
    <w:multiLevelType w:val="hybridMultilevel"/>
    <w:tmpl w:val="41A26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C05D32"/>
    <w:multiLevelType w:val="hybridMultilevel"/>
    <w:tmpl w:val="D4486B8E"/>
    <w:lvl w:ilvl="0" w:tplc="D4509454">
      <w:start w:val="1"/>
      <w:numFmt w:val="bullet"/>
      <w:pStyle w:val="List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Wingdings"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Wingdings"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Wingdings" w:hint="default"/>
      </w:rPr>
    </w:lvl>
    <w:lvl w:ilvl="8" w:tplc="04090005" w:tentative="1">
      <w:start w:val="1"/>
      <w:numFmt w:val="bullet"/>
      <w:lvlText w:val=""/>
      <w:lvlJc w:val="left"/>
      <w:pPr>
        <w:ind w:left="6883" w:hanging="360"/>
      </w:pPr>
      <w:rPr>
        <w:rFonts w:ascii="Wingdings" w:hAnsi="Wingdings" w:hint="default"/>
      </w:rPr>
    </w:lvl>
  </w:abstractNum>
  <w:abstractNum w:abstractNumId="18" w15:restartNumberingAfterBreak="0">
    <w:nsid w:val="5B5D4783"/>
    <w:multiLevelType w:val="hybridMultilevel"/>
    <w:tmpl w:val="08BC81DE"/>
    <w:lvl w:ilvl="0" w:tplc="8AF688F8">
      <w:start w:val="1"/>
      <w:numFmt w:val="decimal"/>
      <w:pStyle w:val="Heading3"/>
      <w:lvlText w:val="1.1.%1."/>
      <w:lvlJc w:val="right"/>
      <w:pPr>
        <w:ind w:left="5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AA2240"/>
    <w:multiLevelType w:val="hybridMultilevel"/>
    <w:tmpl w:val="53289C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29E6E90"/>
    <w:multiLevelType w:val="hybridMultilevel"/>
    <w:tmpl w:val="A27A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A26ED"/>
    <w:multiLevelType w:val="hybridMultilevel"/>
    <w:tmpl w:val="2E30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07DFF"/>
    <w:multiLevelType w:val="hybridMultilevel"/>
    <w:tmpl w:val="DA2C77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11"/>
  </w:num>
  <w:num w:numId="5">
    <w:abstractNumId w:val="18"/>
  </w:num>
  <w:num w:numId="6">
    <w:abstractNumId w:val="13"/>
  </w:num>
  <w:num w:numId="7">
    <w:abstractNumId w:val="10"/>
  </w:num>
  <w:num w:numId="8">
    <w:abstractNumId w:val="0"/>
  </w:num>
  <w:num w:numId="9">
    <w:abstractNumId w:val="15"/>
  </w:num>
  <w:num w:numId="10">
    <w:abstractNumId w:val="8"/>
  </w:num>
  <w:num w:numId="11">
    <w:abstractNumId w:val="21"/>
  </w:num>
  <w:num w:numId="12">
    <w:abstractNumId w:val="6"/>
  </w:num>
  <w:num w:numId="13">
    <w:abstractNumId w:val="14"/>
  </w:num>
  <w:num w:numId="14">
    <w:abstractNumId w:val="22"/>
  </w:num>
  <w:num w:numId="15">
    <w:abstractNumId w:val="3"/>
  </w:num>
  <w:num w:numId="16">
    <w:abstractNumId w:val="5"/>
  </w:num>
  <w:num w:numId="17">
    <w:abstractNumId w:val="16"/>
  </w:num>
  <w:num w:numId="18">
    <w:abstractNumId w:val="12"/>
  </w:num>
  <w:num w:numId="19">
    <w:abstractNumId w:val="19"/>
  </w:num>
  <w:num w:numId="20">
    <w:abstractNumId w:val="9"/>
  </w:num>
  <w:num w:numId="21">
    <w:abstractNumId w:val="20"/>
  </w:num>
  <w:num w:numId="22">
    <w:abstractNumId w:val="2"/>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E5718"/>
    <w:rsid w:val="00000A11"/>
    <w:rsid w:val="000014F9"/>
    <w:rsid w:val="0000347C"/>
    <w:rsid w:val="000046D2"/>
    <w:rsid w:val="00006864"/>
    <w:rsid w:val="000070AE"/>
    <w:rsid w:val="00007A3B"/>
    <w:rsid w:val="0001349C"/>
    <w:rsid w:val="00021F55"/>
    <w:rsid w:val="00024FDF"/>
    <w:rsid w:val="000272E5"/>
    <w:rsid w:val="00031566"/>
    <w:rsid w:val="000317FE"/>
    <w:rsid w:val="0004094D"/>
    <w:rsid w:val="00041058"/>
    <w:rsid w:val="00043D83"/>
    <w:rsid w:val="000444C6"/>
    <w:rsid w:val="00044836"/>
    <w:rsid w:val="000472C2"/>
    <w:rsid w:val="0005176C"/>
    <w:rsid w:val="00051F51"/>
    <w:rsid w:val="00053911"/>
    <w:rsid w:val="000621E2"/>
    <w:rsid w:val="00064196"/>
    <w:rsid w:val="00064483"/>
    <w:rsid w:val="000645D1"/>
    <w:rsid w:val="00067069"/>
    <w:rsid w:val="0006738F"/>
    <w:rsid w:val="00072CDC"/>
    <w:rsid w:val="00074B56"/>
    <w:rsid w:val="00075421"/>
    <w:rsid w:val="00075C89"/>
    <w:rsid w:val="000763F6"/>
    <w:rsid w:val="00081BB1"/>
    <w:rsid w:val="00091B15"/>
    <w:rsid w:val="000934BD"/>
    <w:rsid w:val="00095BCF"/>
    <w:rsid w:val="00095DA0"/>
    <w:rsid w:val="0009605A"/>
    <w:rsid w:val="00097442"/>
    <w:rsid w:val="00097712"/>
    <w:rsid w:val="000A3F9E"/>
    <w:rsid w:val="000A573B"/>
    <w:rsid w:val="000A5F25"/>
    <w:rsid w:val="000A641C"/>
    <w:rsid w:val="000A6DAD"/>
    <w:rsid w:val="000B5438"/>
    <w:rsid w:val="000C1299"/>
    <w:rsid w:val="000C20D1"/>
    <w:rsid w:val="000C6937"/>
    <w:rsid w:val="000D364C"/>
    <w:rsid w:val="000D4F78"/>
    <w:rsid w:val="000D57DA"/>
    <w:rsid w:val="000E17D7"/>
    <w:rsid w:val="000E4560"/>
    <w:rsid w:val="000F056E"/>
    <w:rsid w:val="000F145E"/>
    <w:rsid w:val="000F5BF9"/>
    <w:rsid w:val="0010045F"/>
    <w:rsid w:val="00103B6D"/>
    <w:rsid w:val="00104C94"/>
    <w:rsid w:val="00104E6B"/>
    <w:rsid w:val="001069AE"/>
    <w:rsid w:val="0010759F"/>
    <w:rsid w:val="00116D39"/>
    <w:rsid w:val="001170FF"/>
    <w:rsid w:val="0011726C"/>
    <w:rsid w:val="00120444"/>
    <w:rsid w:val="001217B5"/>
    <w:rsid w:val="001221B7"/>
    <w:rsid w:val="0013077E"/>
    <w:rsid w:val="00130ADE"/>
    <w:rsid w:val="00132A3A"/>
    <w:rsid w:val="001334CC"/>
    <w:rsid w:val="00134706"/>
    <w:rsid w:val="00135BDA"/>
    <w:rsid w:val="001426FF"/>
    <w:rsid w:val="00144EB6"/>
    <w:rsid w:val="00145B8F"/>
    <w:rsid w:val="00147471"/>
    <w:rsid w:val="001474F4"/>
    <w:rsid w:val="00150F32"/>
    <w:rsid w:val="001518E5"/>
    <w:rsid w:val="00155C3E"/>
    <w:rsid w:val="001608CC"/>
    <w:rsid w:val="001620E0"/>
    <w:rsid w:val="00163A7A"/>
    <w:rsid w:val="00167C7A"/>
    <w:rsid w:val="00171A21"/>
    <w:rsid w:val="00172DC3"/>
    <w:rsid w:val="00176E34"/>
    <w:rsid w:val="00180C04"/>
    <w:rsid w:val="00183FAF"/>
    <w:rsid w:val="001866B3"/>
    <w:rsid w:val="0019097D"/>
    <w:rsid w:val="00192B6D"/>
    <w:rsid w:val="001C21BD"/>
    <w:rsid w:val="001C6FDC"/>
    <w:rsid w:val="001D0059"/>
    <w:rsid w:val="001D02C1"/>
    <w:rsid w:val="001D7E99"/>
    <w:rsid w:val="001D7FB5"/>
    <w:rsid w:val="001E0B64"/>
    <w:rsid w:val="001E2B7E"/>
    <w:rsid w:val="001E3253"/>
    <w:rsid w:val="001E327A"/>
    <w:rsid w:val="001F051E"/>
    <w:rsid w:val="001F3DE2"/>
    <w:rsid w:val="001F6D07"/>
    <w:rsid w:val="00200663"/>
    <w:rsid w:val="002062F2"/>
    <w:rsid w:val="00206DA7"/>
    <w:rsid w:val="00210CE8"/>
    <w:rsid w:val="002117EB"/>
    <w:rsid w:val="00216CBC"/>
    <w:rsid w:val="0022309F"/>
    <w:rsid w:val="00223E43"/>
    <w:rsid w:val="00225215"/>
    <w:rsid w:val="00235B28"/>
    <w:rsid w:val="0023710F"/>
    <w:rsid w:val="002417ED"/>
    <w:rsid w:val="0024180D"/>
    <w:rsid w:val="00244B9F"/>
    <w:rsid w:val="0025161D"/>
    <w:rsid w:val="00254601"/>
    <w:rsid w:val="002634B2"/>
    <w:rsid w:val="00266C27"/>
    <w:rsid w:val="00270DD2"/>
    <w:rsid w:val="0027114A"/>
    <w:rsid w:val="00277C06"/>
    <w:rsid w:val="00287083"/>
    <w:rsid w:val="00293D84"/>
    <w:rsid w:val="00294AE0"/>
    <w:rsid w:val="00295AE9"/>
    <w:rsid w:val="002A17AD"/>
    <w:rsid w:val="002A2B03"/>
    <w:rsid w:val="002A2BF3"/>
    <w:rsid w:val="002A764C"/>
    <w:rsid w:val="002A7AAA"/>
    <w:rsid w:val="002B3BF5"/>
    <w:rsid w:val="002B3F99"/>
    <w:rsid w:val="002B7877"/>
    <w:rsid w:val="002C065F"/>
    <w:rsid w:val="002C5DBE"/>
    <w:rsid w:val="002D2CED"/>
    <w:rsid w:val="002D5BDD"/>
    <w:rsid w:val="002E0251"/>
    <w:rsid w:val="002E1022"/>
    <w:rsid w:val="002E6CBB"/>
    <w:rsid w:val="002F02EA"/>
    <w:rsid w:val="002F087F"/>
    <w:rsid w:val="002F384B"/>
    <w:rsid w:val="002F6928"/>
    <w:rsid w:val="002F746E"/>
    <w:rsid w:val="00302F77"/>
    <w:rsid w:val="003046E6"/>
    <w:rsid w:val="00312DDC"/>
    <w:rsid w:val="003170F3"/>
    <w:rsid w:val="003204A8"/>
    <w:rsid w:val="003316A1"/>
    <w:rsid w:val="00333872"/>
    <w:rsid w:val="00333A0B"/>
    <w:rsid w:val="00333CD7"/>
    <w:rsid w:val="00334964"/>
    <w:rsid w:val="00335AF3"/>
    <w:rsid w:val="003371FB"/>
    <w:rsid w:val="0034012F"/>
    <w:rsid w:val="00341086"/>
    <w:rsid w:val="003437F9"/>
    <w:rsid w:val="0034541D"/>
    <w:rsid w:val="0034571F"/>
    <w:rsid w:val="00346B04"/>
    <w:rsid w:val="00347C0E"/>
    <w:rsid w:val="00360385"/>
    <w:rsid w:val="00365005"/>
    <w:rsid w:val="00372168"/>
    <w:rsid w:val="00373791"/>
    <w:rsid w:val="00380E85"/>
    <w:rsid w:val="00386FA1"/>
    <w:rsid w:val="0038754F"/>
    <w:rsid w:val="003927BA"/>
    <w:rsid w:val="00396707"/>
    <w:rsid w:val="00396FEF"/>
    <w:rsid w:val="003A079B"/>
    <w:rsid w:val="003A1CC9"/>
    <w:rsid w:val="003A3746"/>
    <w:rsid w:val="003A48AF"/>
    <w:rsid w:val="003B1342"/>
    <w:rsid w:val="003B21D8"/>
    <w:rsid w:val="003B4FA4"/>
    <w:rsid w:val="003B6B17"/>
    <w:rsid w:val="003B7906"/>
    <w:rsid w:val="003C2EC2"/>
    <w:rsid w:val="003C5219"/>
    <w:rsid w:val="003C6369"/>
    <w:rsid w:val="003D2020"/>
    <w:rsid w:val="003D4E0C"/>
    <w:rsid w:val="003F00C2"/>
    <w:rsid w:val="003F1336"/>
    <w:rsid w:val="003F23DB"/>
    <w:rsid w:val="0040254F"/>
    <w:rsid w:val="0040358D"/>
    <w:rsid w:val="00404B08"/>
    <w:rsid w:val="00407104"/>
    <w:rsid w:val="00411521"/>
    <w:rsid w:val="00411676"/>
    <w:rsid w:val="00412B22"/>
    <w:rsid w:val="004133A7"/>
    <w:rsid w:val="00416FB3"/>
    <w:rsid w:val="00417A2E"/>
    <w:rsid w:val="004216D7"/>
    <w:rsid w:val="00424746"/>
    <w:rsid w:val="00425DAC"/>
    <w:rsid w:val="00427A6C"/>
    <w:rsid w:val="00435658"/>
    <w:rsid w:val="004405EF"/>
    <w:rsid w:val="00444909"/>
    <w:rsid w:val="004454C9"/>
    <w:rsid w:val="00447A97"/>
    <w:rsid w:val="00452A00"/>
    <w:rsid w:val="00454F88"/>
    <w:rsid w:val="004552AD"/>
    <w:rsid w:val="00456212"/>
    <w:rsid w:val="004569E0"/>
    <w:rsid w:val="00456D85"/>
    <w:rsid w:val="004618CC"/>
    <w:rsid w:val="00462FBA"/>
    <w:rsid w:val="00464B94"/>
    <w:rsid w:val="00474D3D"/>
    <w:rsid w:val="004843D4"/>
    <w:rsid w:val="00485193"/>
    <w:rsid w:val="00485AC4"/>
    <w:rsid w:val="004A1984"/>
    <w:rsid w:val="004A4BC2"/>
    <w:rsid w:val="004B0AE9"/>
    <w:rsid w:val="004B20EA"/>
    <w:rsid w:val="004B2228"/>
    <w:rsid w:val="004B3236"/>
    <w:rsid w:val="004B49C8"/>
    <w:rsid w:val="004B4D74"/>
    <w:rsid w:val="004B6967"/>
    <w:rsid w:val="004C3E7F"/>
    <w:rsid w:val="004C6580"/>
    <w:rsid w:val="004C69AD"/>
    <w:rsid w:val="004C6B66"/>
    <w:rsid w:val="004D6E16"/>
    <w:rsid w:val="004D711F"/>
    <w:rsid w:val="004D75D0"/>
    <w:rsid w:val="004E1E39"/>
    <w:rsid w:val="004E6C31"/>
    <w:rsid w:val="004F166B"/>
    <w:rsid w:val="004F3B77"/>
    <w:rsid w:val="004F6781"/>
    <w:rsid w:val="004F727F"/>
    <w:rsid w:val="00502176"/>
    <w:rsid w:val="0050268F"/>
    <w:rsid w:val="00504B94"/>
    <w:rsid w:val="00505162"/>
    <w:rsid w:val="0050715E"/>
    <w:rsid w:val="00514AE8"/>
    <w:rsid w:val="00517C92"/>
    <w:rsid w:val="00520A3F"/>
    <w:rsid w:val="005210E1"/>
    <w:rsid w:val="005226DE"/>
    <w:rsid w:val="00525DF2"/>
    <w:rsid w:val="00525F2B"/>
    <w:rsid w:val="0053006C"/>
    <w:rsid w:val="00532534"/>
    <w:rsid w:val="0053702A"/>
    <w:rsid w:val="005454D8"/>
    <w:rsid w:val="00547EF7"/>
    <w:rsid w:val="00555DAE"/>
    <w:rsid w:val="005620B0"/>
    <w:rsid w:val="005622F2"/>
    <w:rsid w:val="005634C5"/>
    <w:rsid w:val="00566FB6"/>
    <w:rsid w:val="00570A6F"/>
    <w:rsid w:val="00572778"/>
    <w:rsid w:val="005736C3"/>
    <w:rsid w:val="0058086D"/>
    <w:rsid w:val="00581B82"/>
    <w:rsid w:val="00582507"/>
    <w:rsid w:val="005874FA"/>
    <w:rsid w:val="005929F5"/>
    <w:rsid w:val="005934FF"/>
    <w:rsid w:val="005B0D68"/>
    <w:rsid w:val="005B1A95"/>
    <w:rsid w:val="005B218A"/>
    <w:rsid w:val="005B27D6"/>
    <w:rsid w:val="005C174D"/>
    <w:rsid w:val="005C3366"/>
    <w:rsid w:val="005C38F2"/>
    <w:rsid w:val="005C5CC2"/>
    <w:rsid w:val="005C7B3E"/>
    <w:rsid w:val="005D1057"/>
    <w:rsid w:val="005D39F5"/>
    <w:rsid w:val="005D480C"/>
    <w:rsid w:val="005E2A8E"/>
    <w:rsid w:val="005E4E5E"/>
    <w:rsid w:val="005E5846"/>
    <w:rsid w:val="005E6ED9"/>
    <w:rsid w:val="005F2276"/>
    <w:rsid w:val="005F5AF3"/>
    <w:rsid w:val="005F71AC"/>
    <w:rsid w:val="00602D52"/>
    <w:rsid w:val="006033FC"/>
    <w:rsid w:val="00603CED"/>
    <w:rsid w:val="0060452E"/>
    <w:rsid w:val="00605B55"/>
    <w:rsid w:val="0060724C"/>
    <w:rsid w:val="00610A44"/>
    <w:rsid w:val="00612A65"/>
    <w:rsid w:val="00612BF8"/>
    <w:rsid w:val="00620656"/>
    <w:rsid w:val="00621BA8"/>
    <w:rsid w:val="006227BF"/>
    <w:rsid w:val="00627089"/>
    <w:rsid w:val="00630478"/>
    <w:rsid w:val="00632D6A"/>
    <w:rsid w:val="0063492A"/>
    <w:rsid w:val="006355AD"/>
    <w:rsid w:val="006357EE"/>
    <w:rsid w:val="00637D4C"/>
    <w:rsid w:val="00640E4E"/>
    <w:rsid w:val="00641144"/>
    <w:rsid w:val="0064624D"/>
    <w:rsid w:val="00652294"/>
    <w:rsid w:val="006548A1"/>
    <w:rsid w:val="006614B6"/>
    <w:rsid w:val="0066195A"/>
    <w:rsid w:val="0067004A"/>
    <w:rsid w:val="00670780"/>
    <w:rsid w:val="00673D30"/>
    <w:rsid w:val="00673EA8"/>
    <w:rsid w:val="00680EE9"/>
    <w:rsid w:val="0068226A"/>
    <w:rsid w:val="00682DF9"/>
    <w:rsid w:val="00683A76"/>
    <w:rsid w:val="00691539"/>
    <w:rsid w:val="00691F2D"/>
    <w:rsid w:val="00693985"/>
    <w:rsid w:val="00694BC2"/>
    <w:rsid w:val="00696E1D"/>
    <w:rsid w:val="006A07F7"/>
    <w:rsid w:val="006A0AAF"/>
    <w:rsid w:val="006A0B71"/>
    <w:rsid w:val="006A6C2B"/>
    <w:rsid w:val="006A77EB"/>
    <w:rsid w:val="006A7FAA"/>
    <w:rsid w:val="006B3A97"/>
    <w:rsid w:val="006B5E6E"/>
    <w:rsid w:val="006C07E8"/>
    <w:rsid w:val="006C1321"/>
    <w:rsid w:val="006C1DD8"/>
    <w:rsid w:val="006C3173"/>
    <w:rsid w:val="006D4DDB"/>
    <w:rsid w:val="006D5CAE"/>
    <w:rsid w:val="006D7AC2"/>
    <w:rsid w:val="006E00ED"/>
    <w:rsid w:val="006E309C"/>
    <w:rsid w:val="006E5F40"/>
    <w:rsid w:val="006F0B1E"/>
    <w:rsid w:val="006F2B32"/>
    <w:rsid w:val="006F3B9F"/>
    <w:rsid w:val="00700EF4"/>
    <w:rsid w:val="00701424"/>
    <w:rsid w:val="00705D36"/>
    <w:rsid w:val="00710AE3"/>
    <w:rsid w:val="007116A2"/>
    <w:rsid w:val="007118E6"/>
    <w:rsid w:val="007123AB"/>
    <w:rsid w:val="00723F53"/>
    <w:rsid w:val="00724886"/>
    <w:rsid w:val="0073612E"/>
    <w:rsid w:val="0073655C"/>
    <w:rsid w:val="00736A5E"/>
    <w:rsid w:val="00736DA3"/>
    <w:rsid w:val="00737DC1"/>
    <w:rsid w:val="00740F51"/>
    <w:rsid w:val="0074220E"/>
    <w:rsid w:val="00743360"/>
    <w:rsid w:val="0074405B"/>
    <w:rsid w:val="0074611F"/>
    <w:rsid w:val="007513EA"/>
    <w:rsid w:val="00751B67"/>
    <w:rsid w:val="00752EDF"/>
    <w:rsid w:val="007536C7"/>
    <w:rsid w:val="0076206A"/>
    <w:rsid w:val="00763BA9"/>
    <w:rsid w:val="00771D31"/>
    <w:rsid w:val="0077222D"/>
    <w:rsid w:val="00781CEF"/>
    <w:rsid w:val="0078225E"/>
    <w:rsid w:val="0078751A"/>
    <w:rsid w:val="00790242"/>
    <w:rsid w:val="00790293"/>
    <w:rsid w:val="00795FD3"/>
    <w:rsid w:val="00796C81"/>
    <w:rsid w:val="007A21B3"/>
    <w:rsid w:val="007A5426"/>
    <w:rsid w:val="007A5DE1"/>
    <w:rsid w:val="007A74AA"/>
    <w:rsid w:val="007C5AD7"/>
    <w:rsid w:val="007C7A33"/>
    <w:rsid w:val="007D15F7"/>
    <w:rsid w:val="007D2663"/>
    <w:rsid w:val="007D34A5"/>
    <w:rsid w:val="007D519F"/>
    <w:rsid w:val="007E051C"/>
    <w:rsid w:val="007E2A0E"/>
    <w:rsid w:val="007E3D47"/>
    <w:rsid w:val="007E567E"/>
    <w:rsid w:val="007E66D5"/>
    <w:rsid w:val="007F0390"/>
    <w:rsid w:val="007F3CF5"/>
    <w:rsid w:val="007F59DB"/>
    <w:rsid w:val="007F642E"/>
    <w:rsid w:val="00800091"/>
    <w:rsid w:val="00800A60"/>
    <w:rsid w:val="008019DB"/>
    <w:rsid w:val="008051C0"/>
    <w:rsid w:val="0080600E"/>
    <w:rsid w:val="00807A58"/>
    <w:rsid w:val="00810B84"/>
    <w:rsid w:val="00812A65"/>
    <w:rsid w:val="00824080"/>
    <w:rsid w:val="0082637A"/>
    <w:rsid w:val="00831002"/>
    <w:rsid w:val="00831FC0"/>
    <w:rsid w:val="00832C3D"/>
    <w:rsid w:val="00837D86"/>
    <w:rsid w:val="008406D2"/>
    <w:rsid w:val="00840743"/>
    <w:rsid w:val="008453B9"/>
    <w:rsid w:val="00845F75"/>
    <w:rsid w:val="00850053"/>
    <w:rsid w:val="00853BBA"/>
    <w:rsid w:val="00853C6D"/>
    <w:rsid w:val="00854DA8"/>
    <w:rsid w:val="00857DE3"/>
    <w:rsid w:val="00861087"/>
    <w:rsid w:val="00863D0F"/>
    <w:rsid w:val="00864620"/>
    <w:rsid w:val="008661F9"/>
    <w:rsid w:val="00866AF8"/>
    <w:rsid w:val="00883415"/>
    <w:rsid w:val="00884AD5"/>
    <w:rsid w:val="00885F28"/>
    <w:rsid w:val="00887144"/>
    <w:rsid w:val="00887536"/>
    <w:rsid w:val="008A168E"/>
    <w:rsid w:val="008A1C5E"/>
    <w:rsid w:val="008A3B31"/>
    <w:rsid w:val="008A7888"/>
    <w:rsid w:val="008B3317"/>
    <w:rsid w:val="008B3821"/>
    <w:rsid w:val="008B4706"/>
    <w:rsid w:val="008C3580"/>
    <w:rsid w:val="008C5B17"/>
    <w:rsid w:val="008C66E6"/>
    <w:rsid w:val="008C7754"/>
    <w:rsid w:val="008D2289"/>
    <w:rsid w:val="008D26AF"/>
    <w:rsid w:val="008D71D5"/>
    <w:rsid w:val="008E2795"/>
    <w:rsid w:val="008E33A5"/>
    <w:rsid w:val="008E4535"/>
    <w:rsid w:val="008E688B"/>
    <w:rsid w:val="008F40B2"/>
    <w:rsid w:val="008F4574"/>
    <w:rsid w:val="008F58F4"/>
    <w:rsid w:val="008F5B40"/>
    <w:rsid w:val="009027EE"/>
    <w:rsid w:val="009060AB"/>
    <w:rsid w:val="0091104A"/>
    <w:rsid w:val="009138AD"/>
    <w:rsid w:val="009143FA"/>
    <w:rsid w:val="009168AA"/>
    <w:rsid w:val="009200AD"/>
    <w:rsid w:val="00920210"/>
    <w:rsid w:val="0092230E"/>
    <w:rsid w:val="00925DBC"/>
    <w:rsid w:val="00926490"/>
    <w:rsid w:val="00930BA0"/>
    <w:rsid w:val="009334F9"/>
    <w:rsid w:val="009336F5"/>
    <w:rsid w:val="00937297"/>
    <w:rsid w:val="00937F4F"/>
    <w:rsid w:val="009439BE"/>
    <w:rsid w:val="0094524D"/>
    <w:rsid w:val="00951B79"/>
    <w:rsid w:val="00951C33"/>
    <w:rsid w:val="00953F0C"/>
    <w:rsid w:val="009546CB"/>
    <w:rsid w:val="00957CC8"/>
    <w:rsid w:val="00960569"/>
    <w:rsid w:val="00960619"/>
    <w:rsid w:val="0096094E"/>
    <w:rsid w:val="00964C36"/>
    <w:rsid w:val="009732A4"/>
    <w:rsid w:val="00976C1A"/>
    <w:rsid w:val="009808B7"/>
    <w:rsid w:val="00980D4C"/>
    <w:rsid w:val="00987787"/>
    <w:rsid w:val="0098787B"/>
    <w:rsid w:val="009924BE"/>
    <w:rsid w:val="00992675"/>
    <w:rsid w:val="00996D27"/>
    <w:rsid w:val="009A031D"/>
    <w:rsid w:val="009A3F2E"/>
    <w:rsid w:val="009A6B6F"/>
    <w:rsid w:val="009A76F5"/>
    <w:rsid w:val="009B6C60"/>
    <w:rsid w:val="009C62C0"/>
    <w:rsid w:val="009D3150"/>
    <w:rsid w:val="009D4F22"/>
    <w:rsid w:val="009E2907"/>
    <w:rsid w:val="009F18D6"/>
    <w:rsid w:val="009F191A"/>
    <w:rsid w:val="009F4134"/>
    <w:rsid w:val="009F4336"/>
    <w:rsid w:val="009F6872"/>
    <w:rsid w:val="009F796A"/>
    <w:rsid w:val="00A07713"/>
    <w:rsid w:val="00A16068"/>
    <w:rsid w:val="00A203C7"/>
    <w:rsid w:val="00A2153C"/>
    <w:rsid w:val="00A24964"/>
    <w:rsid w:val="00A2796D"/>
    <w:rsid w:val="00A312F6"/>
    <w:rsid w:val="00A31711"/>
    <w:rsid w:val="00A32B50"/>
    <w:rsid w:val="00A332C8"/>
    <w:rsid w:val="00A33DAE"/>
    <w:rsid w:val="00A4600B"/>
    <w:rsid w:val="00A46247"/>
    <w:rsid w:val="00A52810"/>
    <w:rsid w:val="00A55412"/>
    <w:rsid w:val="00A5596E"/>
    <w:rsid w:val="00A570C8"/>
    <w:rsid w:val="00A60F84"/>
    <w:rsid w:val="00A63DBE"/>
    <w:rsid w:val="00A722D2"/>
    <w:rsid w:val="00A72B70"/>
    <w:rsid w:val="00A757A3"/>
    <w:rsid w:val="00A775EF"/>
    <w:rsid w:val="00A82534"/>
    <w:rsid w:val="00A82CA2"/>
    <w:rsid w:val="00A85CEB"/>
    <w:rsid w:val="00A92D2E"/>
    <w:rsid w:val="00A93352"/>
    <w:rsid w:val="00A95C29"/>
    <w:rsid w:val="00A97547"/>
    <w:rsid w:val="00AA2BF2"/>
    <w:rsid w:val="00AA4A00"/>
    <w:rsid w:val="00AA680A"/>
    <w:rsid w:val="00AA7D17"/>
    <w:rsid w:val="00AA7D39"/>
    <w:rsid w:val="00AB0B67"/>
    <w:rsid w:val="00AB11FE"/>
    <w:rsid w:val="00AB2C68"/>
    <w:rsid w:val="00AB3DDD"/>
    <w:rsid w:val="00AC5691"/>
    <w:rsid w:val="00AC7477"/>
    <w:rsid w:val="00AC7BA5"/>
    <w:rsid w:val="00AC7D9C"/>
    <w:rsid w:val="00AD58AF"/>
    <w:rsid w:val="00AD76F4"/>
    <w:rsid w:val="00AD7C9B"/>
    <w:rsid w:val="00AD7D2B"/>
    <w:rsid w:val="00AE4988"/>
    <w:rsid w:val="00AF6781"/>
    <w:rsid w:val="00AF7660"/>
    <w:rsid w:val="00B01285"/>
    <w:rsid w:val="00B01470"/>
    <w:rsid w:val="00B02E07"/>
    <w:rsid w:val="00B06830"/>
    <w:rsid w:val="00B06AB3"/>
    <w:rsid w:val="00B106BF"/>
    <w:rsid w:val="00B11456"/>
    <w:rsid w:val="00B11B07"/>
    <w:rsid w:val="00B12A82"/>
    <w:rsid w:val="00B1557C"/>
    <w:rsid w:val="00B16203"/>
    <w:rsid w:val="00B163D0"/>
    <w:rsid w:val="00B22942"/>
    <w:rsid w:val="00B33C9A"/>
    <w:rsid w:val="00B420B0"/>
    <w:rsid w:val="00B47156"/>
    <w:rsid w:val="00B47855"/>
    <w:rsid w:val="00B55156"/>
    <w:rsid w:val="00B60268"/>
    <w:rsid w:val="00B61F48"/>
    <w:rsid w:val="00B6509F"/>
    <w:rsid w:val="00B66341"/>
    <w:rsid w:val="00B67E80"/>
    <w:rsid w:val="00B75849"/>
    <w:rsid w:val="00B80037"/>
    <w:rsid w:val="00B81976"/>
    <w:rsid w:val="00B81D97"/>
    <w:rsid w:val="00B91D69"/>
    <w:rsid w:val="00B95071"/>
    <w:rsid w:val="00BA208E"/>
    <w:rsid w:val="00BB0002"/>
    <w:rsid w:val="00BB1E0A"/>
    <w:rsid w:val="00BB7F19"/>
    <w:rsid w:val="00BD21A1"/>
    <w:rsid w:val="00BD5898"/>
    <w:rsid w:val="00BD697C"/>
    <w:rsid w:val="00BE29EF"/>
    <w:rsid w:val="00BE5ADD"/>
    <w:rsid w:val="00BF0178"/>
    <w:rsid w:val="00BF0E9B"/>
    <w:rsid w:val="00BF55FE"/>
    <w:rsid w:val="00BF74CA"/>
    <w:rsid w:val="00C01370"/>
    <w:rsid w:val="00C030D7"/>
    <w:rsid w:val="00C03583"/>
    <w:rsid w:val="00C0426E"/>
    <w:rsid w:val="00C044F6"/>
    <w:rsid w:val="00C04DC4"/>
    <w:rsid w:val="00C06440"/>
    <w:rsid w:val="00C07CD3"/>
    <w:rsid w:val="00C11434"/>
    <w:rsid w:val="00C16014"/>
    <w:rsid w:val="00C17F6D"/>
    <w:rsid w:val="00C232D3"/>
    <w:rsid w:val="00C25E19"/>
    <w:rsid w:val="00C2659B"/>
    <w:rsid w:val="00C33D5A"/>
    <w:rsid w:val="00C42F59"/>
    <w:rsid w:val="00C43EFD"/>
    <w:rsid w:val="00C4565F"/>
    <w:rsid w:val="00C4781D"/>
    <w:rsid w:val="00C47B05"/>
    <w:rsid w:val="00C519C8"/>
    <w:rsid w:val="00C54830"/>
    <w:rsid w:val="00C548A1"/>
    <w:rsid w:val="00C54EEB"/>
    <w:rsid w:val="00C55019"/>
    <w:rsid w:val="00C55E92"/>
    <w:rsid w:val="00C56FF5"/>
    <w:rsid w:val="00C57C4F"/>
    <w:rsid w:val="00C62C0B"/>
    <w:rsid w:val="00C713A0"/>
    <w:rsid w:val="00C74EE8"/>
    <w:rsid w:val="00C7524A"/>
    <w:rsid w:val="00C81276"/>
    <w:rsid w:val="00C83092"/>
    <w:rsid w:val="00C8631D"/>
    <w:rsid w:val="00C904FE"/>
    <w:rsid w:val="00C918E9"/>
    <w:rsid w:val="00C92975"/>
    <w:rsid w:val="00CA24E3"/>
    <w:rsid w:val="00CA5150"/>
    <w:rsid w:val="00CA5372"/>
    <w:rsid w:val="00CA7391"/>
    <w:rsid w:val="00CB17A6"/>
    <w:rsid w:val="00CB2251"/>
    <w:rsid w:val="00CB2395"/>
    <w:rsid w:val="00CC170A"/>
    <w:rsid w:val="00CC25B4"/>
    <w:rsid w:val="00CD0609"/>
    <w:rsid w:val="00CD18D1"/>
    <w:rsid w:val="00CD2511"/>
    <w:rsid w:val="00CD398C"/>
    <w:rsid w:val="00CF0508"/>
    <w:rsid w:val="00CF3185"/>
    <w:rsid w:val="00CF512D"/>
    <w:rsid w:val="00D00FB4"/>
    <w:rsid w:val="00D0209E"/>
    <w:rsid w:val="00D030EB"/>
    <w:rsid w:val="00D06EE6"/>
    <w:rsid w:val="00D0722F"/>
    <w:rsid w:val="00D1048A"/>
    <w:rsid w:val="00D12EC2"/>
    <w:rsid w:val="00D15EF6"/>
    <w:rsid w:val="00D16A88"/>
    <w:rsid w:val="00D225CA"/>
    <w:rsid w:val="00D242D6"/>
    <w:rsid w:val="00D2652C"/>
    <w:rsid w:val="00D2697F"/>
    <w:rsid w:val="00D309ED"/>
    <w:rsid w:val="00D31343"/>
    <w:rsid w:val="00D317B9"/>
    <w:rsid w:val="00D31F6B"/>
    <w:rsid w:val="00D360C1"/>
    <w:rsid w:val="00D419AE"/>
    <w:rsid w:val="00D41A2E"/>
    <w:rsid w:val="00D41B30"/>
    <w:rsid w:val="00D4242F"/>
    <w:rsid w:val="00D424D1"/>
    <w:rsid w:val="00D469E3"/>
    <w:rsid w:val="00D46C9E"/>
    <w:rsid w:val="00D50CB2"/>
    <w:rsid w:val="00D53E30"/>
    <w:rsid w:val="00D55172"/>
    <w:rsid w:val="00D606F9"/>
    <w:rsid w:val="00D61820"/>
    <w:rsid w:val="00D63595"/>
    <w:rsid w:val="00D652EB"/>
    <w:rsid w:val="00D666CC"/>
    <w:rsid w:val="00D66B9A"/>
    <w:rsid w:val="00D72DF2"/>
    <w:rsid w:val="00D74117"/>
    <w:rsid w:val="00D806A7"/>
    <w:rsid w:val="00D82A61"/>
    <w:rsid w:val="00D866E1"/>
    <w:rsid w:val="00D8773A"/>
    <w:rsid w:val="00D9440B"/>
    <w:rsid w:val="00DA0122"/>
    <w:rsid w:val="00DA013E"/>
    <w:rsid w:val="00DA04C1"/>
    <w:rsid w:val="00DA0E1C"/>
    <w:rsid w:val="00DA3009"/>
    <w:rsid w:val="00DB23E6"/>
    <w:rsid w:val="00DB278A"/>
    <w:rsid w:val="00DB4FF9"/>
    <w:rsid w:val="00DB652F"/>
    <w:rsid w:val="00DC033F"/>
    <w:rsid w:val="00DC4467"/>
    <w:rsid w:val="00DC44D8"/>
    <w:rsid w:val="00DC51CF"/>
    <w:rsid w:val="00DC528D"/>
    <w:rsid w:val="00DC5530"/>
    <w:rsid w:val="00DC59D1"/>
    <w:rsid w:val="00DC6972"/>
    <w:rsid w:val="00DD3789"/>
    <w:rsid w:val="00DD6D68"/>
    <w:rsid w:val="00DE0633"/>
    <w:rsid w:val="00DE0F99"/>
    <w:rsid w:val="00DE19E7"/>
    <w:rsid w:val="00DE235F"/>
    <w:rsid w:val="00DE4698"/>
    <w:rsid w:val="00DE6DA6"/>
    <w:rsid w:val="00DF32DD"/>
    <w:rsid w:val="00E002A4"/>
    <w:rsid w:val="00E06B64"/>
    <w:rsid w:val="00E1001A"/>
    <w:rsid w:val="00E11509"/>
    <w:rsid w:val="00E136D4"/>
    <w:rsid w:val="00E15853"/>
    <w:rsid w:val="00E2102F"/>
    <w:rsid w:val="00E2173A"/>
    <w:rsid w:val="00E23FE6"/>
    <w:rsid w:val="00E33BDD"/>
    <w:rsid w:val="00E35302"/>
    <w:rsid w:val="00E3545B"/>
    <w:rsid w:val="00E3667D"/>
    <w:rsid w:val="00E37068"/>
    <w:rsid w:val="00E411B7"/>
    <w:rsid w:val="00E433BD"/>
    <w:rsid w:val="00E43990"/>
    <w:rsid w:val="00E44E2A"/>
    <w:rsid w:val="00E46AEA"/>
    <w:rsid w:val="00E5199A"/>
    <w:rsid w:val="00E62B3F"/>
    <w:rsid w:val="00E671E7"/>
    <w:rsid w:val="00E77DAB"/>
    <w:rsid w:val="00E801A1"/>
    <w:rsid w:val="00E84EA9"/>
    <w:rsid w:val="00E85851"/>
    <w:rsid w:val="00E85992"/>
    <w:rsid w:val="00E86D7E"/>
    <w:rsid w:val="00E9345F"/>
    <w:rsid w:val="00E95627"/>
    <w:rsid w:val="00EA6478"/>
    <w:rsid w:val="00EB2B0F"/>
    <w:rsid w:val="00EB2C56"/>
    <w:rsid w:val="00EB4861"/>
    <w:rsid w:val="00EC19CD"/>
    <w:rsid w:val="00EC3DB6"/>
    <w:rsid w:val="00EC6A23"/>
    <w:rsid w:val="00EC743A"/>
    <w:rsid w:val="00ED008C"/>
    <w:rsid w:val="00ED5D67"/>
    <w:rsid w:val="00EE2406"/>
    <w:rsid w:val="00EE5F58"/>
    <w:rsid w:val="00EE7744"/>
    <w:rsid w:val="00EE79C2"/>
    <w:rsid w:val="00EF5F5E"/>
    <w:rsid w:val="00EF7319"/>
    <w:rsid w:val="00F00FB3"/>
    <w:rsid w:val="00F021CB"/>
    <w:rsid w:val="00F02533"/>
    <w:rsid w:val="00F025E5"/>
    <w:rsid w:val="00F04C44"/>
    <w:rsid w:val="00F079B9"/>
    <w:rsid w:val="00F15BCB"/>
    <w:rsid w:val="00F16D29"/>
    <w:rsid w:val="00F21628"/>
    <w:rsid w:val="00F22370"/>
    <w:rsid w:val="00F22461"/>
    <w:rsid w:val="00F24874"/>
    <w:rsid w:val="00F30020"/>
    <w:rsid w:val="00F316D9"/>
    <w:rsid w:val="00F36833"/>
    <w:rsid w:val="00F36FFE"/>
    <w:rsid w:val="00F37C21"/>
    <w:rsid w:val="00F4279C"/>
    <w:rsid w:val="00F46180"/>
    <w:rsid w:val="00F532B2"/>
    <w:rsid w:val="00F55AB3"/>
    <w:rsid w:val="00F55CB3"/>
    <w:rsid w:val="00F55EF4"/>
    <w:rsid w:val="00F61B6D"/>
    <w:rsid w:val="00F62985"/>
    <w:rsid w:val="00F634C9"/>
    <w:rsid w:val="00F70608"/>
    <w:rsid w:val="00F7091F"/>
    <w:rsid w:val="00F7274E"/>
    <w:rsid w:val="00F815B8"/>
    <w:rsid w:val="00F83540"/>
    <w:rsid w:val="00F90C4D"/>
    <w:rsid w:val="00FA6778"/>
    <w:rsid w:val="00FB4CDD"/>
    <w:rsid w:val="00FB534A"/>
    <w:rsid w:val="00FC07A1"/>
    <w:rsid w:val="00FC17BA"/>
    <w:rsid w:val="00FC2BE1"/>
    <w:rsid w:val="00FC310A"/>
    <w:rsid w:val="00FC6ACA"/>
    <w:rsid w:val="00FC72E4"/>
    <w:rsid w:val="00FD23DE"/>
    <w:rsid w:val="00FD6530"/>
    <w:rsid w:val="00FD68B0"/>
    <w:rsid w:val="00FD6916"/>
    <w:rsid w:val="00FE15FF"/>
    <w:rsid w:val="00FE1B75"/>
    <w:rsid w:val="00FE5718"/>
    <w:rsid w:val="00FE7B20"/>
    <w:rsid w:val="00FF095B"/>
    <w:rsid w:val="00FF255B"/>
    <w:rsid w:val="00FF2A50"/>
    <w:rsid w:val="00FF40A3"/>
    <w:rsid w:val="07809067"/>
    <w:rsid w:val="1218204E"/>
    <w:rsid w:val="1219820F"/>
    <w:rsid w:val="23D9770C"/>
    <w:rsid w:val="4480380F"/>
    <w:rsid w:val="5145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C37AB"/>
  <w15:docId w15:val="{165858C2-1480-469D-8595-0C1F2AF5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A5"/>
    <w:pPr>
      <w:keepNext/>
      <w:keepLines/>
      <w:numPr>
        <w:numId w:val="1"/>
      </w:numPr>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BA5"/>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C7BA5"/>
    <w:pPr>
      <w:keepNext/>
      <w:keepLines/>
      <w:numPr>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AC7BA5"/>
    <w:pPr>
      <w:spacing w:before="260" w:after="0" w:line="360" w:lineRule="auto"/>
      <w:jc w:val="both"/>
      <w:outlineLvl w:val="3"/>
    </w:pPr>
    <w:rPr>
      <w:rFonts w:ascii="Times New Roman" w:eastAsia="Times New Roman" w:hAnsi="Times New Roman" w:cs="Times New Roman"/>
      <w:bCs/>
      <w:iCs/>
      <w:sz w:val="24"/>
      <w:szCs w:val="24"/>
      <w:lang w:val="en-US"/>
    </w:rPr>
  </w:style>
  <w:style w:type="paragraph" w:styleId="Heading5">
    <w:name w:val="heading 5"/>
    <w:basedOn w:val="Normal"/>
    <w:next w:val="Normal"/>
    <w:link w:val="Heading5Char"/>
    <w:uiPriority w:val="9"/>
    <w:semiHidden/>
    <w:unhideWhenUsed/>
    <w:qFormat/>
    <w:rsid w:val="00AC7BA5"/>
    <w:pPr>
      <w:keepNext/>
      <w:keepLines/>
      <w:spacing w:before="200" w:after="0" w:line="360" w:lineRule="auto"/>
      <w:ind w:left="1008" w:hanging="1008"/>
      <w:jc w:val="both"/>
      <w:outlineLvl w:val="4"/>
    </w:pPr>
    <w:rPr>
      <w:rFonts w:ascii="Cambria" w:eastAsia="Times New Roman" w:hAnsi="Cambria" w:cs="Times New Roman"/>
      <w:color w:val="243F60"/>
      <w:sz w:val="24"/>
      <w:lang w:val="en-US"/>
    </w:rPr>
  </w:style>
  <w:style w:type="paragraph" w:styleId="Heading6">
    <w:name w:val="heading 6"/>
    <w:basedOn w:val="Normal"/>
    <w:next w:val="Normal"/>
    <w:link w:val="Heading6Char"/>
    <w:uiPriority w:val="9"/>
    <w:semiHidden/>
    <w:unhideWhenUsed/>
    <w:qFormat/>
    <w:rsid w:val="00AC7BA5"/>
    <w:pPr>
      <w:keepNext/>
      <w:keepLines/>
      <w:spacing w:before="200" w:after="0" w:line="360" w:lineRule="auto"/>
      <w:ind w:left="1152" w:hanging="1152"/>
      <w:jc w:val="both"/>
      <w:outlineLvl w:val="5"/>
    </w:pPr>
    <w:rPr>
      <w:rFonts w:ascii="Cambria" w:eastAsia="Times New Roman" w:hAnsi="Cambria" w:cs="Times New Roman"/>
      <w:i/>
      <w:iCs/>
      <w:color w:val="243F60"/>
      <w:sz w:val="24"/>
      <w:lang w:val="en-US"/>
    </w:rPr>
  </w:style>
  <w:style w:type="paragraph" w:styleId="Heading7">
    <w:name w:val="heading 7"/>
    <w:basedOn w:val="Normal"/>
    <w:next w:val="Normal"/>
    <w:link w:val="Heading7Char"/>
    <w:uiPriority w:val="9"/>
    <w:semiHidden/>
    <w:unhideWhenUsed/>
    <w:qFormat/>
    <w:rsid w:val="00AC7BA5"/>
    <w:pPr>
      <w:keepNext/>
      <w:keepLines/>
      <w:spacing w:before="200" w:after="0" w:line="360" w:lineRule="auto"/>
      <w:ind w:left="1296" w:hanging="1296"/>
      <w:jc w:val="both"/>
      <w:outlineLvl w:val="6"/>
    </w:pPr>
    <w:rPr>
      <w:rFonts w:ascii="Cambria" w:eastAsia="Times New Roman" w:hAnsi="Cambria" w:cs="Times New Roman"/>
      <w:i/>
      <w:iCs/>
      <w:color w:val="404040"/>
      <w:sz w:val="24"/>
      <w:lang w:val="en-US"/>
    </w:rPr>
  </w:style>
  <w:style w:type="paragraph" w:styleId="Heading8">
    <w:name w:val="heading 8"/>
    <w:basedOn w:val="Normal"/>
    <w:next w:val="Normal"/>
    <w:link w:val="Heading8Char"/>
    <w:uiPriority w:val="9"/>
    <w:semiHidden/>
    <w:unhideWhenUsed/>
    <w:qFormat/>
    <w:rsid w:val="00AC7BA5"/>
    <w:pPr>
      <w:keepNext/>
      <w:keepLines/>
      <w:spacing w:before="200" w:after="0" w:line="360" w:lineRule="auto"/>
      <w:ind w:left="1440" w:hanging="1440"/>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AC7BA5"/>
    <w:pPr>
      <w:keepNext/>
      <w:keepLines/>
      <w:spacing w:before="200" w:after="0" w:line="360" w:lineRule="auto"/>
      <w:ind w:left="1584" w:hanging="1584"/>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1FC0"/>
    <w:pPr>
      <w:spacing w:after="0" w:line="240" w:lineRule="auto"/>
    </w:pPr>
    <w:rPr>
      <w:sz w:val="20"/>
      <w:szCs w:val="20"/>
    </w:rPr>
  </w:style>
  <w:style w:type="character" w:customStyle="1" w:styleId="FootnoteTextChar">
    <w:name w:val="Footnote Text Char"/>
    <w:basedOn w:val="DefaultParagraphFont"/>
    <w:link w:val="FootnoteText"/>
    <w:uiPriority w:val="99"/>
    <w:rsid w:val="00831FC0"/>
    <w:rPr>
      <w:sz w:val="20"/>
      <w:szCs w:val="20"/>
    </w:rPr>
  </w:style>
  <w:style w:type="character" w:styleId="FootnoteReference">
    <w:name w:val="footnote reference"/>
    <w:basedOn w:val="DefaultParagraphFont"/>
    <w:uiPriority w:val="99"/>
    <w:semiHidden/>
    <w:unhideWhenUsed/>
    <w:rsid w:val="00831FC0"/>
    <w:rPr>
      <w:vertAlign w:val="superscript"/>
    </w:rPr>
  </w:style>
  <w:style w:type="character" w:styleId="Hyperlink">
    <w:name w:val="Hyperlink"/>
    <w:uiPriority w:val="99"/>
    <w:unhideWhenUsed/>
    <w:rsid w:val="00D50CB2"/>
    <w:rPr>
      <w:color w:val="0000FF"/>
      <w:u w:val="single"/>
    </w:rPr>
  </w:style>
  <w:style w:type="paragraph" w:styleId="ListParagraph">
    <w:name w:val="List Paragraph"/>
    <w:basedOn w:val="Normal"/>
    <w:uiPriority w:val="34"/>
    <w:qFormat/>
    <w:rsid w:val="00D50CB2"/>
    <w:pPr>
      <w:ind w:left="720"/>
      <w:contextualSpacing/>
    </w:pPr>
  </w:style>
  <w:style w:type="character" w:customStyle="1" w:styleId="Heading1Char">
    <w:name w:val="Heading 1 Char"/>
    <w:basedOn w:val="DefaultParagraphFont"/>
    <w:link w:val="Heading1"/>
    <w:uiPriority w:val="9"/>
    <w:rsid w:val="00AC7B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BA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D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4BD"/>
    <w:rPr>
      <w:rFonts w:ascii="Tahoma" w:hAnsi="Tahoma" w:cs="Tahoma"/>
      <w:sz w:val="16"/>
      <w:szCs w:val="16"/>
    </w:rPr>
  </w:style>
  <w:style w:type="character" w:styleId="CommentReference">
    <w:name w:val="annotation reference"/>
    <w:basedOn w:val="DefaultParagraphFont"/>
    <w:uiPriority w:val="99"/>
    <w:semiHidden/>
    <w:unhideWhenUsed/>
    <w:rsid w:val="00C16014"/>
    <w:rPr>
      <w:sz w:val="16"/>
      <w:szCs w:val="16"/>
    </w:rPr>
  </w:style>
  <w:style w:type="paragraph" w:styleId="CommentText">
    <w:name w:val="annotation text"/>
    <w:basedOn w:val="Normal"/>
    <w:link w:val="CommentTextChar"/>
    <w:uiPriority w:val="99"/>
    <w:unhideWhenUsed/>
    <w:rsid w:val="00C16014"/>
    <w:pPr>
      <w:spacing w:line="240" w:lineRule="auto"/>
    </w:pPr>
    <w:rPr>
      <w:sz w:val="20"/>
      <w:szCs w:val="20"/>
    </w:rPr>
  </w:style>
  <w:style w:type="character" w:customStyle="1" w:styleId="CommentTextChar">
    <w:name w:val="Comment Text Char"/>
    <w:basedOn w:val="DefaultParagraphFont"/>
    <w:link w:val="CommentText"/>
    <w:uiPriority w:val="99"/>
    <w:rsid w:val="00C16014"/>
    <w:rPr>
      <w:sz w:val="20"/>
      <w:szCs w:val="20"/>
    </w:rPr>
  </w:style>
  <w:style w:type="paragraph" w:styleId="CommentSubject">
    <w:name w:val="annotation subject"/>
    <w:basedOn w:val="CommentText"/>
    <w:next w:val="CommentText"/>
    <w:link w:val="CommentSubjectChar"/>
    <w:uiPriority w:val="99"/>
    <w:semiHidden/>
    <w:unhideWhenUsed/>
    <w:rsid w:val="00C16014"/>
    <w:rPr>
      <w:b/>
      <w:bCs/>
    </w:rPr>
  </w:style>
  <w:style w:type="character" w:customStyle="1" w:styleId="CommentSubjectChar">
    <w:name w:val="Comment Subject Char"/>
    <w:basedOn w:val="CommentTextChar"/>
    <w:link w:val="CommentSubject"/>
    <w:uiPriority w:val="99"/>
    <w:semiHidden/>
    <w:rsid w:val="00C16014"/>
    <w:rPr>
      <w:b/>
      <w:bCs/>
      <w:sz w:val="20"/>
      <w:szCs w:val="20"/>
    </w:rPr>
  </w:style>
  <w:style w:type="paragraph" w:styleId="Header">
    <w:name w:val="header"/>
    <w:basedOn w:val="Normal"/>
    <w:link w:val="HeaderChar"/>
    <w:uiPriority w:val="99"/>
    <w:unhideWhenUsed/>
    <w:rsid w:val="001F0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51E"/>
  </w:style>
  <w:style w:type="paragraph" w:styleId="Footer">
    <w:name w:val="footer"/>
    <w:basedOn w:val="Normal"/>
    <w:link w:val="FooterChar"/>
    <w:uiPriority w:val="99"/>
    <w:unhideWhenUsed/>
    <w:rsid w:val="001F0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51E"/>
  </w:style>
  <w:style w:type="character" w:styleId="FollowedHyperlink">
    <w:name w:val="FollowedHyperlink"/>
    <w:basedOn w:val="DefaultParagraphFont"/>
    <w:uiPriority w:val="99"/>
    <w:semiHidden/>
    <w:unhideWhenUsed/>
    <w:rsid w:val="00840743"/>
    <w:rPr>
      <w:color w:val="800080" w:themeColor="followedHyperlink"/>
      <w:u w:val="single"/>
    </w:rPr>
  </w:style>
  <w:style w:type="paragraph" w:styleId="Caption">
    <w:name w:val="caption"/>
    <w:basedOn w:val="Normal"/>
    <w:next w:val="Normal"/>
    <w:uiPriority w:val="35"/>
    <w:unhideWhenUsed/>
    <w:qFormat/>
    <w:rsid w:val="00810B84"/>
    <w:pPr>
      <w:spacing w:line="240" w:lineRule="auto"/>
    </w:pPr>
    <w:rPr>
      <w:b/>
      <w:bCs/>
      <w:color w:val="4F81BD" w:themeColor="accent1"/>
      <w:sz w:val="18"/>
      <w:szCs w:val="18"/>
    </w:rPr>
  </w:style>
  <w:style w:type="paragraph" w:styleId="Bibliography">
    <w:name w:val="Bibliography"/>
    <w:basedOn w:val="Normal"/>
    <w:next w:val="Normal"/>
    <w:uiPriority w:val="37"/>
    <w:unhideWhenUsed/>
    <w:rsid w:val="00EC19CD"/>
    <w:pPr>
      <w:spacing w:after="0" w:line="240" w:lineRule="auto"/>
      <w:ind w:left="720" w:hanging="720"/>
    </w:pPr>
  </w:style>
  <w:style w:type="character" w:customStyle="1" w:styleId="Heading3Char">
    <w:name w:val="Heading 3 Char"/>
    <w:basedOn w:val="DefaultParagraphFont"/>
    <w:link w:val="Heading3"/>
    <w:rsid w:val="00AC7B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7BA5"/>
    <w:rPr>
      <w:rFonts w:ascii="Times New Roman" w:eastAsia="Times New Roman" w:hAnsi="Times New Roman" w:cs="Times New Roman"/>
      <w:bCs/>
      <w:iCs/>
      <w:sz w:val="24"/>
      <w:szCs w:val="24"/>
      <w:lang w:val="en-US"/>
    </w:rPr>
  </w:style>
  <w:style w:type="character" w:customStyle="1" w:styleId="Heading5Char">
    <w:name w:val="Heading 5 Char"/>
    <w:basedOn w:val="DefaultParagraphFont"/>
    <w:link w:val="Heading5"/>
    <w:uiPriority w:val="9"/>
    <w:semiHidden/>
    <w:rsid w:val="00AC7BA5"/>
    <w:rPr>
      <w:rFonts w:ascii="Cambria" w:eastAsia="Times New Roman" w:hAnsi="Cambria" w:cs="Times New Roman"/>
      <w:color w:val="243F60"/>
      <w:sz w:val="24"/>
      <w:lang w:val="en-US"/>
    </w:rPr>
  </w:style>
  <w:style w:type="character" w:customStyle="1" w:styleId="Heading6Char">
    <w:name w:val="Heading 6 Char"/>
    <w:basedOn w:val="DefaultParagraphFont"/>
    <w:link w:val="Heading6"/>
    <w:uiPriority w:val="9"/>
    <w:semiHidden/>
    <w:rsid w:val="00AC7BA5"/>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semiHidden/>
    <w:rsid w:val="00AC7BA5"/>
    <w:rPr>
      <w:rFonts w:ascii="Cambria" w:eastAsia="Times New Roman" w:hAnsi="Cambria" w:cs="Times New Roman"/>
      <w:i/>
      <w:iCs/>
      <w:color w:val="404040"/>
      <w:sz w:val="24"/>
      <w:lang w:val="en-US"/>
    </w:rPr>
  </w:style>
  <w:style w:type="character" w:customStyle="1" w:styleId="Heading8Char">
    <w:name w:val="Heading 8 Char"/>
    <w:basedOn w:val="DefaultParagraphFont"/>
    <w:link w:val="Heading8"/>
    <w:uiPriority w:val="9"/>
    <w:semiHidden/>
    <w:rsid w:val="00AC7B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AC7BA5"/>
    <w:rPr>
      <w:rFonts w:ascii="Cambria" w:eastAsia="Times New Roman" w:hAnsi="Cambria" w:cs="Times New Roman"/>
      <w:i/>
      <w:iCs/>
      <w:color w:val="404040"/>
      <w:sz w:val="20"/>
      <w:szCs w:val="20"/>
      <w:lang w:val="en-US"/>
    </w:rPr>
  </w:style>
  <w:style w:type="paragraph" w:customStyle="1" w:styleId="NoParagraphStyle">
    <w:name w:val="[No Paragraph Style]"/>
    <w:rsid w:val="00AC7BA5"/>
    <w:pPr>
      <w:widowControl w:val="0"/>
      <w:autoSpaceDE w:val="0"/>
      <w:autoSpaceDN w:val="0"/>
      <w:adjustRightInd w:val="0"/>
      <w:spacing w:after="0" w:line="288" w:lineRule="auto"/>
      <w:textAlignment w:val="center"/>
    </w:pPr>
    <w:rPr>
      <w:rFonts w:ascii="Times-Roman" w:eastAsia="Calisto MT" w:hAnsi="Times-Roman" w:cs="Times-Roman"/>
      <w:color w:val="000000"/>
      <w:sz w:val="24"/>
      <w:szCs w:val="24"/>
      <w:lang w:val="en-US"/>
    </w:rPr>
  </w:style>
  <w:style w:type="paragraph" w:customStyle="1" w:styleId="Author">
    <w:name w:val="Author"/>
    <w:next w:val="Normal"/>
    <w:rsid w:val="00AC7BA5"/>
    <w:pPr>
      <w:suppressAutoHyphens/>
      <w:spacing w:after="280" w:line="360" w:lineRule="auto"/>
      <w:jc w:val="center"/>
    </w:pPr>
    <w:rPr>
      <w:rFonts w:ascii="Times New Roman" w:eastAsia="Calisto MT" w:hAnsi="Times New Roman" w:cs="TimesLTStd-Roman"/>
      <w:smallCaps/>
      <w:color w:val="000000"/>
      <w:sz w:val="24"/>
      <w:lang w:val="en-US"/>
    </w:rPr>
  </w:style>
  <w:style w:type="paragraph" w:customStyle="1" w:styleId="Abstract">
    <w:name w:val="Abstract"/>
    <w:next w:val="Normal"/>
    <w:rsid w:val="00AC7BA5"/>
    <w:pPr>
      <w:spacing w:before="100" w:after="600" w:line="360" w:lineRule="auto"/>
      <w:ind w:left="662" w:right="662"/>
      <w:jc w:val="both"/>
    </w:pPr>
    <w:rPr>
      <w:rFonts w:ascii="Times New Roman" w:eastAsia="Calisto MT" w:hAnsi="Times New Roman" w:cs="TimesLTStd-Italic"/>
      <w:i/>
      <w:iCs/>
      <w:color w:val="000000"/>
      <w:sz w:val="24"/>
      <w:lang w:val="en-US"/>
    </w:rPr>
  </w:style>
  <w:style w:type="paragraph" w:customStyle="1" w:styleId="Equation">
    <w:name w:val="Equation"/>
    <w:next w:val="Normal"/>
    <w:rsid w:val="00AC7BA5"/>
    <w:pPr>
      <w:tabs>
        <w:tab w:val="center" w:pos="3960"/>
      </w:tabs>
      <w:suppressAutoHyphens/>
      <w:spacing w:before="260" w:after="0" w:line="360" w:lineRule="auto"/>
    </w:pPr>
    <w:rPr>
      <w:rFonts w:ascii="Times New Roman" w:eastAsia="Calisto MT" w:hAnsi="Times New Roman" w:cs="TimesLTStd-Roman"/>
      <w:color w:val="000000"/>
      <w:sz w:val="24"/>
      <w:szCs w:val="20"/>
      <w:lang w:val="en-US"/>
    </w:rPr>
  </w:style>
  <w:style w:type="paragraph" w:customStyle="1" w:styleId="NormalNoIndent">
    <w:name w:val="Normal No Indent"/>
    <w:basedOn w:val="Normal"/>
    <w:next w:val="Normal"/>
    <w:rsid w:val="00AC7BA5"/>
    <w:pPr>
      <w:spacing w:after="0" w:line="360" w:lineRule="auto"/>
      <w:jc w:val="both"/>
    </w:pPr>
    <w:rPr>
      <w:rFonts w:ascii="Times New Roman" w:eastAsia="Calisto MT" w:hAnsi="Times New Roman" w:cs="Times New Roman"/>
      <w:sz w:val="24"/>
      <w:szCs w:val="24"/>
      <w:lang w:val="en-US"/>
    </w:rPr>
  </w:style>
  <w:style w:type="paragraph" w:customStyle="1" w:styleId="Contact">
    <w:name w:val="Contact"/>
    <w:next w:val="Normal"/>
    <w:rsid w:val="00AC7BA5"/>
    <w:pPr>
      <w:spacing w:line="360" w:lineRule="auto"/>
    </w:pPr>
    <w:rPr>
      <w:rFonts w:ascii="Times New Roman" w:eastAsia="Calisto MT" w:hAnsi="Times New Roman" w:cs="TimesLTStd-Roman"/>
      <w:color w:val="000000"/>
      <w:sz w:val="16"/>
      <w:szCs w:val="16"/>
      <w:lang w:val="en-US"/>
    </w:rPr>
  </w:style>
  <w:style w:type="paragraph" w:customStyle="1" w:styleId="ReferenceHeading">
    <w:name w:val="Reference Heading"/>
    <w:basedOn w:val="Normal"/>
    <w:next w:val="References"/>
    <w:rsid w:val="00AC7BA5"/>
    <w:pPr>
      <w:keepNext/>
      <w:widowControl w:val="0"/>
      <w:autoSpaceDE w:val="0"/>
      <w:autoSpaceDN w:val="0"/>
      <w:adjustRightInd w:val="0"/>
      <w:spacing w:before="260" w:after="260" w:line="360" w:lineRule="auto"/>
      <w:jc w:val="center"/>
      <w:textAlignment w:val="center"/>
    </w:pPr>
    <w:rPr>
      <w:rFonts w:ascii="Times New Roman" w:eastAsia="Calisto MT" w:hAnsi="Times New Roman" w:cs="TimesLTStd-Roman"/>
      <w:caps/>
      <w:sz w:val="24"/>
      <w:szCs w:val="20"/>
      <w:lang w:val="en-US"/>
    </w:rPr>
  </w:style>
  <w:style w:type="paragraph" w:customStyle="1" w:styleId="References">
    <w:name w:val="References"/>
    <w:basedOn w:val="Normal"/>
    <w:rsid w:val="00AC7BA5"/>
    <w:pPr>
      <w:widowControl w:val="0"/>
      <w:autoSpaceDE w:val="0"/>
      <w:autoSpaceDN w:val="0"/>
      <w:adjustRightInd w:val="0"/>
      <w:spacing w:after="0" w:line="360" w:lineRule="auto"/>
      <w:ind w:left="202" w:hanging="202"/>
      <w:jc w:val="both"/>
      <w:textAlignment w:val="center"/>
    </w:pPr>
    <w:rPr>
      <w:rFonts w:ascii="Times New Roman" w:eastAsia="Calisto MT" w:hAnsi="Times New Roman" w:cs="TimesLTStd-Roman"/>
      <w:sz w:val="24"/>
      <w:szCs w:val="20"/>
      <w:lang w:val="en-US"/>
    </w:rPr>
  </w:style>
  <w:style w:type="paragraph" w:customStyle="1" w:styleId="Extract">
    <w:name w:val="Extract"/>
    <w:next w:val="Normal"/>
    <w:uiPriority w:val="99"/>
    <w:semiHidden/>
    <w:rsid w:val="00AC7BA5"/>
    <w:pPr>
      <w:spacing w:before="260" w:after="0" w:line="360" w:lineRule="auto"/>
      <w:ind w:left="720" w:right="720"/>
      <w:jc w:val="both"/>
    </w:pPr>
    <w:rPr>
      <w:rFonts w:ascii="Times New Roman" w:eastAsia="Calisto MT" w:hAnsi="Times New Roman" w:cs="TimesLTStd-Italic"/>
      <w:i/>
      <w:iCs/>
      <w:color w:val="000000"/>
      <w:sz w:val="24"/>
      <w:szCs w:val="20"/>
      <w:lang w:val="en-US"/>
    </w:rPr>
  </w:style>
  <w:style w:type="paragraph" w:customStyle="1" w:styleId="Tagline">
    <w:name w:val="Tagline"/>
    <w:basedOn w:val="Normal"/>
    <w:next w:val="Normal"/>
    <w:uiPriority w:val="99"/>
    <w:semiHidden/>
    <w:qFormat/>
    <w:rsid w:val="00AC7BA5"/>
    <w:pPr>
      <w:spacing w:after="120" w:line="360" w:lineRule="auto"/>
      <w:ind w:left="720" w:right="720"/>
      <w:jc w:val="right"/>
    </w:pPr>
    <w:rPr>
      <w:rFonts w:ascii="Times New Roman" w:eastAsia="Calisto MT" w:hAnsi="Times New Roman" w:cs="Times New Roman"/>
      <w:sz w:val="24"/>
      <w:szCs w:val="24"/>
      <w:lang w:val="en-US"/>
    </w:rPr>
  </w:style>
  <w:style w:type="paragraph" w:customStyle="1" w:styleId="FigureTitle">
    <w:name w:val="Figure Title"/>
    <w:next w:val="Normal"/>
    <w:rsid w:val="00AC7BA5"/>
    <w:pPr>
      <w:keepLines/>
      <w:suppressAutoHyphens/>
      <w:spacing w:after="80" w:line="180" w:lineRule="atLeast"/>
      <w:jc w:val="center"/>
    </w:pPr>
    <w:rPr>
      <w:rFonts w:ascii="Times New Roman" w:eastAsia="Calisto MT" w:hAnsi="Times New Roman" w:cs="TimesLTStd-Roman"/>
      <w:smallCaps/>
      <w:color w:val="000000"/>
      <w:spacing w:val="-1"/>
      <w:sz w:val="16"/>
      <w:szCs w:val="16"/>
      <w:lang w:val="en-US"/>
    </w:rPr>
  </w:style>
  <w:style w:type="paragraph" w:customStyle="1" w:styleId="FigureNotes">
    <w:name w:val="Figure Notes"/>
    <w:next w:val="Normal"/>
    <w:rsid w:val="00AC7BA5"/>
    <w:pPr>
      <w:tabs>
        <w:tab w:val="right" w:pos="440"/>
        <w:tab w:val="left" w:pos="480"/>
      </w:tabs>
      <w:spacing w:before="120" w:after="120" w:line="180" w:lineRule="atLeast"/>
      <w:jc w:val="both"/>
    </w:pPr>
    <w:rPr>
      <w:rFonts w:ascii="Times New Roman" w:eastAsia="Calisto MT" w:hAnsi="Times New Roman" w:cs="TimesLTStd-Roman"/>
      <w:color w:val="000000"/>
      <w:sz w:val="16"/>
      <w:szCs w:val="16"/>
      <w:lang w:val="en-US"/>
    </w:rPr>
  </w:style>
  <w:style w:type="paragraph" w:customStyle="1" w:styleId="TableTitle">
    <w:name w:val="Table Title"/>
    <w:rsid w:val="00AC7BA5"/>
    <w:pPr>
      <w:pBdr>
        <w:bottom w:val="double" w:sz="2" w:space="1" w:color="auto"/>
      </w:pBdr>
      <w:suppressAutoHyphens/>
      <w:spacing w:after="160" w:line="180" w:lineRule="atLeast"/>
      <w:ind w:right="720"/>
      <w:jc w:val="center"/>
    </w:pPr>
    <w:rPr>
      <w:rFonts w:ascii="Times New Roman" w:eastAsia="Calisto MT" w:hAnsi="Times New Roman" w:cs="TimesLTStd-Roman"/>
      <w:smallCaps/>
      <w:color w:val="000000"/>
      <w:spacing w:val="-1"/>
      <w:w w:val="97"/>
      <w:sz w:val="16"/>
      <w:szCs w:val="16"/>
      <w:lang w:val="en-US"/>
    </w:rPr>
  </w:style>
  <w:style w:type="paragraph" w:customStyle="1" w:styleId="TableNotes">
    <w:name w:val="Table Notes"/>
    <w:rsid w:val="00AC7BA5"/>
    <w:pPr>
      <w:spacing w:before="120" w:after="0" w:line="180" w:lineRule="atLeast"/>
      <w:ind w:right="720"/>
      <w:jc w:val="both"/>
    </w:pPr>
    <w:rPr>
      <w:rFonts w:ascii="Times New Roman" w:eastAsia="Calisto MT" w:hAnsi="Times New Roman" w:cs="TimesLTStd-Roman"/>
      <w:color w:val="000000"/>
      <w:sz w:val="16"/>
      <w:szCs w:val="16"/>
      <w:lang w:val="en-US"/>
    </w:rPr>
  </w:style>
  <w:style w:type="paragraph" w:customStyle="1" w:styleId="TableText">
    <w:name w:val="Table Text"/>
    <w:rsid w:val="00AC7BA5"/>
    <w:pPr>
      <w:spacing w:after="0" w:line="180" w:lineRule="atLeast"/>
      <w:jc w:val="center"/>
    </w:pPr>
    <w:rPr>
      <w:rFonts w:ascii="Times New Roman" w:eastAsia="Calisto MT" w:hAnsi="Times New Roman" w:cs="TimesLTStd-Roman"/>
      <w:color w:val="000000"/>
      <w:sz w:val="16"/>
      <w:szCs w:val="16"/>
      <w:lang w:val="en-US"/>
    </w:rPr>
  </w:style>
  <w:style w:type="paragraph" w:styleId="Title">
    <w:name w:val="Title"/>
    <w:next w:val="Author"/>
    <w:link w:val="TitleChar"/>
    <w:qFormat/>
    <w:rsid w:val="00AC7BA5"/>
    <w:pPr>
      <w:spacing w:after="300" w:line="360" w:lineRule="auto"/>
      <w:contextualSpacing/>
      <w:jc w:val="center"/>
    </w:pPr>
    <w:rPr>
      <w:rFonts w:ascii="Arial" w:eastAsia="Times New Roman" w:hAnsi="Arial" w:cs="Times New Roman"/>
      <w:color w:val="000000"/>
      <w:kern w:val="28"/>
      <w:sz w:val="28"/>
      <w:szCs w:val="52"/>
      <w:lang w:val="en-US"/>
    </w:rPr>
  </w:style>
  <w:style w:type="character" w:customStyle="1" w:styleId="TitleChar">
    <w:name w:val="Title Char"/>
    <w:basedOn w:val="DefaultParagraphFont"/>
    <w:link w:val="Title"/>
    <w:rsid w:val="00AC7BA5"/>
    <w:rPr>
      <w:rFonts w:ascii="Arial" w:eastAsia="Times New Roman" w:hAnsi="Arial" w:cs="Times New Roman"/>
      <w:color w:val="000000"/>
      <w:kern w:val="28"/>
      <w:sz w:val="28"/>
      <w:szCs w:val="52"/>
      <w:lang w:val="en-US"/>
    </w:rPr>
  </w:style>
  <w:style w:type="paragraph" w:styleId="ListBullet">
    <w:name w:val="List Bullet"/>
    <w:basedOn w:val="Normal"/>
    <w:next w:val="Normal"/>
    <w:rsid w:val="00AC7BA5"/>
    <w:pPr>
      <w:numPr>
        <w:numId w:val="3"/>
      </w:numPr>
      <w:spacing w:after="0" w:line="360" w:lineRule="auto"/>
      <w:contextualSpacing/>
      <w:jc w:val="both"/>
    </w:pPr>
    <w:rPr>
      <w:rFonts w:ascii="Times New Roman" w:eastAsia="Calisto MT" w:hAnsi="Times New Roman" w:cs="Times New Roman"/>
      <w:sz w:val="24"/>
      <w:szCs w:val="24"/>
      <w:lang w:val="en-US"/>
    </w:rPr>
  </w:style>
  <w:style w:type="paragraph" w:styleId="ListNumber">
    <w:name w:val="List Number"/>
    <w:basedOn w:val="Normal"/>
    <w:next w:val="Normal"/>
    <w:rsid w:val="00AC7BA5"/>
    <w:pPr>
      <w:numPr>
        <w:numId w:val="4"/>
      </w:numPr>
      <w:tabs>
        <w:tab w:val="clear" w:pos="1195"/>
      </w:tabs>
      <w:spacing w:after="260" w:line="360" w:lineRule="auto"/>
      <w:ind w:left="1555" w:hanging="720"/>
      <w:jc w:val="both"/>
    </w:pPr>
    <w:rPr>
      <w:rFonts w:ascii="Times New Roman" w:eastAsia="Calisto MT" w:hAnsi="Times New Roman" w:cs="Times New Roman"/>
      <w:sz w:val="24"/>
      <w:szCs w:val="24"/>
      <w:lang w:val="en-US"/>
    </w:rPr>
  </w:style>
  <w:style w:type="paragraph" w:customStyle="1" w:styleId="FigurePlaceholder">
    <w:name w:val="Figure Placeholder"/>
    <w:basedOn w:val="Normal"/>
    <w:next w:val="Normal"/>
    <w:qFormat/>
    <w:rsid w:val="00AC7BA5"/>
    <w:pPr>
      <w:spacing w:before="260" w:after="260" w:line="360" w:lineRule="auto"/>
      <w:ind w:firstLine="204"/>
      <w:jc w:val="center"/>
    </w:pPr>
    <w:rPr>
      <w:rFonts w:ascii="Times New Roman" w:eastAsia="Calisto MT" w:hAnsi="Times New Roman" w:cs="Times New Roman"/>
      <w:sz w:val="24"/>
      <w:szCs w:val="24"/>
      <w:lang w:val="en-US"/>
    </w:rPr>
  </w:style>
  <w:style w:type="character" w:customStyle="1" w:styleId="TableFootLetter">
    <w:name w:val="Table FootLetter"/>
    <w:rsid w:val="00AC7BA5"/>
    <w:rPr>
      <w:rFonts w:ascii="Times New Roman" w:hAnsi="Times New Roman"/>
      <w:sz w:val="16"/>
      <w:bdr w:val="none" w:sz="0" w:space="0" w:color="auto"/>
      <w:vertAlign w:val="superscript"/>
    </w:rPr>
  </w:style>
  <w:style w:type="paragraph" w:customStyle="1" w:styleId="TableFootnote">
    <w:name w:val="Table Footnote"/>
    <w:basedOn w:val="TableNotes"/>
    <w:next w:val="TableNotes"/>
    <w:qFormat/>
    <w:rsid w:val="00AC7BA5"/>
  </w:style>
  <w:style w:type="paragraph" w:customStyle="1" w:styleId="TablePlaceholder">
    <w:name w:val="Table Placeholder"/>
    <w:basedOn w:val="FigurePlaceholder"/>
    <w:next w:val="NoParagraphStyle"/>
    <w:qFormat/>
    <w:rsid w:val="00AC7BA5"/>
  </w:style>
  <w:style w:type="paragraph" w:styleId="DocumentMap">
    <w:name w:val="Document Map"/>
    <w:basedOn w:val="Normal"/>
    <w:link w:val="DocumentMapChar"/>
    <w:uiPriority w:val="99"/>
    <w:semiHidden/>
    <w:rsid w:val="00AC7BA5"/>
    <w:pPr>
      <w:spacing w:after="0" w:line="360" w:lineRule="auto"/>
      <w:ind w:firstLine="204"/>
      <w:jc w:val="both"/>
    </w:pPr>
    <w:rPr>
      <w:rFonts w:ascii="Lucida Grande" w:eastAsia="Calisto MT" w:hAnsi="Lucida Grande" w:cs="Times New Roman"/>
      <w:sz w:val="24"/>
      <w:szCs w:val="24"/>
      <w:lang w:val="en-US"/>
    </w:rPr>
  </w:style>
  <w:style w:type="character" w:customStyle="1" w:styleId="DocumentMapChar">
    <w:name w:val="Document Map Char"/>
    <w:basedOn w:val="DefaultParagraphFont"/>
    <w:link w:val="DocumentMap"/>
    <w:uiPriority w:val="99"/>
    <w:semiHidden/>
    <w:rsid w:val="00AC7BA5"/>
    <w:rPr>
      <w:rFonts w:ascii="Lucida Grande" w:eastAsia="Calisto MT" w:hAnsi="Lucida Grande" w:cs="Times New Roman"/>
      <w:sz w:val="24"/>
      <w:szCs w:val="24"/>
      <w:lang w:val="en-US"/>
    </w:rPr>
  </w:style>
  <w:style w:type="paragraph" w:styleId="TOCHeading">
    <w:name w:val="TOC Heading"/>
    <w:basedOn w:val="Heading1"/>
    <w:next w:val="Normal"/>
    <w:uiPriority w:val="39"/>
    <w:unhideWhenUsed/>
    <w:qFormat/>
    <w:rsid w:val="00AC7BA5"/>
    <w:pPr>
      <w:numPr>
        <w:numId w:val="0"/>
      </w:numPr>
      <w:spacing w:line="360" w:lineRule="auto"/>
      <w:jc w:val="left"/>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unhideWhenUsed/>
    <w:rsid w:val="00AC7BA5"/>
    <w:pPr>
      <w:tabs>
        <w:tab w:val="left" w:pos="480"/>
        <w:tab w:val="right" w:leader="dot" w:pos="8494"/>
      </w:tabs>
      <w:spacing w:before="120" w:after="100" w:line="360" w:lineRule="auto"/>
      <w:jc w:val="center"/>
    </w:pPr>
    <w:rPr>
      <w:rFonts w:ascii="Times New Roman" w:eastAsia="Calibri" w:hAnsi="Times New Roman" w:cs="Times New Roman"/>
      <w:b/>
      <w:sz w:val="24"/>
      <w:lang w:val="en-US"/>
    </w:rPr>
  </w:style>
  <w:style w:type="paragraph" w:styleId="TOC2">
    <w:name w:val="toc 2"/>
    <w:basedOn w:val="Normal"/>
    <w:next w:val="Normal"/>
    <w:autoRedefine/>
    <w:uiPriority w:val="39"/>
    <w:unhideWhenUsed/>
    <w:rsid w:val="00AC7BA5"/>
    <w:pPr>
      <w:spacing w:before="120" w:after="100" w:line="360" w:lineRule="auto"/>
      <w:ind w:left="240"/>
      <w:jc w:val="both"/>
    </w:pPr>
    <w:rPr>
      <w:rFonts w:ascii="Times New Roman" w:eastAsia="Calibri" w:hAnsi="Times New Roman" w:cs="Times New Roman"/>
      <w:sz w:val="24"/>
      <w:lang w:val="en-US"/>
    </w:rPr>
  </w:style>
  <w:style w:type="paragraph" w:styleId="TOC3">
    <w:name w:val="toc 3"/>
    <w:basedOn w:val="Normal"/>
    <w:next w:val="Normal"/>
    <w:autoRedefine/>
    <w:uiPriority w:val="39"/>
    <w:unhideWhenUsed/>
    <w:rsid w:val="00AC7BA5"/>
    <w:pPr>
      <w:spacing w:before="120" w:after="100" w:line="360" w:lineRule="auto"/>
      <w:ind w:left="480"/>
      <w:jc w:val="both"/>
    </w:pPr>
    <w:rPr>
      <w:rFonts w:ascii="Times New Roman" w:eastAsia="Calibri" w:hAnsi="Times New Roman" w:cs="Times New Roman"/>
      <w:sz w:val="24"/>
      <w:lang w:val="en-US"/>
    </w:rPr>
  </w:style>
  <w:style w:type="character" w:styleId="PlaceholderText">
    <w:name w:val="Placeholder Text"/>
    <w:uiPriority w:val="99"/>
    <w:semiHidden/>
    <w:rsid w:val="00AC7BA5"/>
    <w:rPr>
      <w:color w:val="808080"/>
    </w:rPr>
  </w:style>
  <w:style w:type="numbering" w:customStyle="1" w:styleId="NoList1">
    <w:name w:val="No List1"/>
    <w:next w:val="NoList"/>
    <w:uiPriority w:val="99"/>
    <w:semiHidden/>
    <w:unhideWhenUsed/>
    <w:rsid w:val="00AC7BA5"/>
  </w:style>
  <w:style w:type="table" w:customStyle="1" w:styleId="TableGrid1">
    <w:name w:val="Table Grid1"/>
    <w:basedOn w:val="TableNormal"/>
    <w:next w:val="TableGrid"/>
    <w:uiPriority w:val="59"/>
    <w:rsid w:val="00AC7BA5"/>
    <w:pPr>
      <w:spacing w:after="0" w:line="240" w:lineRule="auto"/>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A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411521"/>
  </w:style>
  <w:style w:type="character" w:customStyle="1" w:styleId="panelblocktitlesmall">
    <w:name w:val="panel__block__title_small"/>
    <w:basedOn w:val="DefaultParagraphFont"/>
    <w:rsid w:val="00411521"/>
  </w:style>
  <w:style w:type="character" w:customStyle="1" w:styleId="phonefaxvalue">
    <w:name w:val="phonefaxvalue"/>
    <w:basedOn w:val="DefaultParagraphFont"/>
    <w:rsid w:val="00411521"/>
  </w:style>
  <w:style w:type="character" w:customStyle="1" w:styleId="leaf">
    <w:name w:val="leaf"/>
    <w:basedOn w:val="DefaultParagraphFont"/>
    <w:rsid w:val="004D75D0"/>
  </w:style>
  <w:style w:type="character" w:styleId="EndnoteReference">
    <w:name w:val="endnote reference"/>
    <w:basedOn w:val="DefaultParagraphFont"/>
    <w:uiPriority w:val="99"/>
    <w:semiHidden/>
    <w:unhideWhenUsed/>
    <w:rsid w:val="00B106BF"/>
    <w:rPr>
      <w:vertAlign w:val="superscript"/>
    </w:rPr>
  </w:style>
  <w:style w:type="paragraph" w:styleId="HTMLPreformatted">
    <w:name w:val="HTML Preformatted"/>
    <w:basedOn w:val="Normal"/>
    <w:link w:val="HTMLPreformattedChar"/>
    <w:uiPriority w:val="99"/>
    <w:unhideWhenUsed/>
    <w:rsid w:val="00B1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B106BF"/>
    <w:rPr>
      <w:rFonts w:ascii="Courier New" w:eastAsia="Times New Roman" w:hAnsi="Courier New" w:cs="Courier New"/>
      <w:sz w:val="20"/>
      <w:szCs w:val="20"/>
      <w:lang w:val="es-ES" w:eastAsia="es-ES"/>
    </w:rPr>
  </w:style>
  <w:style w:type="character" w:customStyle="1" w:styleId="Mencinsinresolver1">
    <w:name w:val="Mención sin resolver1"/>
    <w:basedOn w:val="DefaultParagraphFont"/>
    <w:uiPriority w:val="99"/>
    <w:semiHidden/>
    <w:unhideWhenUsed/>
    <w:rsid w:val="00B106BF"/>
    <w:rPr>
      <w:color w:val="605E5C"/>
      <w:shd w:val="clear" w:color="auto" w:fill="E1DFDD"/>
    </w:rPr>
  </w:style>
  <w:style w:type="character" w:customStyle="1" w:styleId="a">
    <w:name w:val="_"/>
    <w:basedOn w:val="DefaultParagraphFont"/>
    <w:rsid w:val="00B106BF"/>
  </w:style>
  <w:style w:type="paragraph" w:customStyle="1" w:styleId="xl82">
    <w:name w:val="xl82"/>
    <w:basedOn w:val="Normal"/>
    <w:rsid w:val="00B106B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2"/>
      <w:szCs w:val="12"/>
      <w:lang w:val="es-ES" w:eastAsia="es-ES"/>
    </w:rPr>
  </w:style>
  <w:style w:type="character" w:customStyle="1" w:styleId="UnresolvedMention1">
    <w:name w:val="Unresolved Mention1"/>
    <w:basedOn w:val="DefaultParagraphFont"/>
    <w:uiPriority w:val="99"/>
    <w:semiHidden/>
    <w:unhideWhenUsed/>
    <w:rsid w:val="00960619"/>
    <w:rPr>
      <w:color w:val="605E5C"/>
      <w:shd w:val="clear" w:color="auto" w:fill="E1DFDD"/>
    </w:rPr>
  </w:style>
  <w:style w:type="character" w:customStyle="1" w:styleId="highlight">
    <w:name w:val="highlight"/>
    <w:basedOn w:val="DefaultParagraphFont"/>
    <w:rsid w:val="00864620"/>
  </w:style>
  <w:style w:type="paragraph" w:styleId="Revision">
    <w:name w:val="Revision"/>
    <w:hidden/>
    <w:uiPriority w:val="99"/>
    <w:semiHidden/>
    <w:rsid w:val="00EC743A"/>
    <w:pPr>
      <w:spacing w:after="0" w:line="240" w:lineRule="auto"/>
    </w:pPr>
  </w:style>
  <w:style w:type="character" w:customStyle="1" w:styleId="st">
    <w:name w:val="st"/>
    <w:basedOn w:val="DefaultParagraphFont"/>
    <w:rsid w:val="001221B7"/>
  </w:style>
  <w:style w:type="character" w:styleId="Emphasis">
    <w:name w:val="Emphasis"/>
    <w:basedOn w:val="DefaultParagraphFont"/>
    <w:uiPriority w:val="20"/>
    <w:qFormat/>
    <w:rsid w:val="001221B7"/>
    <w:rPr>
      <w:i/>
      <w:iCs/>
    </w:rPr>
  </w:style>
  <w:style w:type="paragraph" w:styleId="TableofFigures">
    <w:name w:val="table of figures"/>
    <w:basedOn w:val="Normal"/>
    <w:next w:val="Normal"/>
    <w:uiPriority w:val="99"/>
    <w:unhideWhenUsed/>
    <w:rsid w:val="00C7524A"/>
    <w:pPr>
      <w:spacing w:after="0"/>
    </w:pPr>
  </w:style>
  <w:style w:type="character" w:styleId="Strong">
    <w:name w:val="Strong"/>
    <w:basedOn w:val="DefaultParagraphFont"/>
    <w:uiPriority w:val="22"/>
    <w:qFormat/>
    <w:rsid w:val="00F634C9"/>
    <w:rPr>
      <w:b/>
      <w:bCs/>
    </w:rPr>
  </w:style>
  <w:style w:type="paragraph" w:styleId="NormalWeb">
    <w:name w:val="Normal (Web)"/>
    <w:basedOn w:val="Normal"/>
    <w:uiPriority w:val="99"/>
    <w:unhideWhenUsed/>
    <w:rsid w:val="00F216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DefaultParagraphFont"/>
    <w:rsid w:val="00F21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99409">
      <w:bodyDiv w:val="1"/>
      <w:marLeft w:val="0"/>
      <w:marRight w:val="0"/>
      <w:marTop w:val="0"/>
      <w:marBottom w:val="0"/>
      <w:divBdr>
        <w:top w:val="none" w:sz="0" w:space="0" w:color="auto"/>
        <w:left w:val="none" w:sz="0" w:space="0" w:color="auto"/>
        <w:bottom w:val="none" w:sz="0" w:space="0" w:color="auto"/>
        <w:right w:val="none" w:sz="0" w:space="0" w:color="auto"/>
      </w:divBdr>
    </w:div>
    <w:div w:id="515461886">
      <w:bodyDiv w:val="1"/>
      <w:marLeft w:val="0"/>
      <w:marRight w:val="0"/>
      <w:marTop w:val="0"/>
      <w:marBottom w:val="0"/>
      <w:divBdr>
        <w:top w:val="none" w:sz="0" w:space="0" w:color="auto"/>
        <w:left w:val="none" w:sz="0" w:space="0" w:color="auto"/>
        <w:bottom w:val="none" w:sz="0" w:space="0" w:color="auto"/>
        <w:right w:val="none" w:sz="0" w:space="0" w:color="auto"/>
      </w:divBdr>
    </w:div>
    <w:div w:id="616643964">
      <w:bodyDiv w:val="1"/>
      <w:marLeft w:val="0"/>
      <w:marRight w:val="0"/>
      <w:marTop w:val="0"/>
      <w:marBottom w:val="0"/>
      <w:divBdr>
        <w:top w:val="none" w:sz="0" w:space="0" w:color="auto"/>
        <w:left w:val="none" w:sz="0" w:space="0" w:color="auto"/>
        <w:bottom w:val="none" w:sz="0" w:space="0" w:color="auto"/>
        <w:right w:val="none" w:sz="0" w:space="0" w:color="auto"/>
      </w:divBdr>
    </w:div>
    <w:div w:id="714039254">
      <w:bodyDiv w:val="1"/>
      <w:marLeft w:val="0"/>
      <w:marRight w:val="0"/>
      <w:marTop w:val="0"/>
      <w:marBottom w:val="0"/>
      <w:divBdr>
        <w:top w:val="none" w:sz="0" w:space="0" w:color="auto"/>
        <w:left w:val="none" w:sz="0" w:space="0" w:color="auto"/>
        <w:bottom w:val="none" w:sz="0" w:space="0" w:color="auto"/>
        <w:right w:val="none" w:sz="0" w:space="0" w:color="auto"/>
      </w:divBdr>
    </w:div>
    <w:div w:id="1060858028">
      <w:bodyDiv w:val="1"/>
      <w:marLeft w:val="0"/>
      <w:marRight w:val="0"/>
      <w:marTop w:val="0"/>
      <w:marBottom w:val="0"/>
      <w:divBdr>
        <w:top w:val="none" w:sz="0" w:space="0" w:color="auto"/>
        <w:left w:val="none" w:sz="0" w:space="0" w:color="auto"/>
        <w:bottom w:val="none" w:sz="0" w:space="0" w:color="auto"/>
        <w:right w:val="none" w:sz="0" w:space="0" w:color="auto"/>
      </w:divBdr>
    </w:div>
    <w:div w:id="1166363058">
      <w:bodyDiv w:val="1"/>
      <w:marLeft w:val="0"/>
      <w:marRight w:val="0"/>
      <w:marTop w:val="0"/>
      <w:marBottom w:val="0"/>
      <w:divBdr>
        <w:top w:val="none" w:sz="0" w:space="0" w:color="auto"/>
        <w:left w:val="none" w:sz="0" w:space="0" w:color="auto"/>
        <w:bottom w:val="none" w:sz="0" w:space="0" w:color="auto"/>
        <w:right w:val="none" w:sz="0" w:space="0" w:color="auto"/>
      </w:divBdr>
    </w:div>
    <w:div w:id="1234926084">
      <w:bodyDiv w:val="1"/>
      <w:marLeft w:val="0"/>
      <w:marRight w:val="0"/>
      <w:marTop w:val="0"/>
      <w:marBottom w:val="0"/>
      <w:divBdr>
        <w:top w:val="none" w:sz="0" w:space="0" w:color="auto"/>
        <w:left w:val="none" w:sz="0" w:space="0" w:color="auto"/>
        <w:bottom w:val="none" w:sz="0" w:space="0" w:color="auto"/>
        <w:right w:val="none" w:sz="0" w:space="0" w:color="auto"/>
      </w:divBdr>
    </w:div>
    <w:div w:id="1260678057">
      <w:bodyDiv w:val="1"/>
      <w:marLeft w:val="0"/>
      <w:marRight w:val="0"/>
      <w:marTop w:val="0"/>
      <w:marBottom w:val="0"/>
      <w:divBdr>
        <w:top w:val="none" w:sz="0" w:space="0" w:color="auto"/>
        <w:left w:val="none" w:sz="0" w:space="0" w:color="auto"/>
        <w:bottom w:val="none" w:sz="0" w:space="0" w:color="auto"/>
        <w:right w:val="none" w:sz="0" w:space="0" w:color="auto"/>
      </w:divBdr>
    </w:div>
    <w:div w:id="1317490960">
      <w:bodyDiv w:val="1"/>
      <w:marLeft w:val="0"/>
      <w:marRight w:val="0"/>
      <w:marTop w:val="0"/>
      <w:marBottom w:val="0"/>
      <w:divBdr>
        <w:top w:val="none" w:sz="0" w:space="0" w:color="auto"/>
        <w:left w:val="none" w:sz="0" w:space="0" w:color="auto"/>
        <w:bottom w:val="none" w:sz="0" w:space="0" w:color="auto"/>
        <w:right w:val="none" w:sz="0" w:space="0" w:color="auto"/>
      </w:divBdr>
    </w:div>
    <w:div w:id="1411853615">
      <w:bodyDiv w:val="1"/>
      <w:marLeft w:val="0"/>
      <w:marRight w:val="0"/>
      <w:marTop w:val="0"/>
      <w:marBottom w:val="0"/>
      <w:divBdr>
        <w:top w:val="none" w:sz="0" w:space="0" w:color="auto"/>
        <w:left w:val="none" w:sz="0" w:space="0" w:color="auto"/>
        <w:bottom w:val="none" w:sz="0" w:space="0" w:color="auto"/>
        <w:right w:val="none" w:sz="0" w:space="0" w:color="auto"/>
      </w:divBdr>
    </w:div>
    <w:div w:id="1465468250">
      <w:bodyDiv w:val="1"/>
      <w:marLeft w:val="0"/>
      <w:marRight w:val="0"/>
      <w:marTop w:val="0"/>
      <w:marBottom w:val="0"/>
      <w:divBdr>
        <w:top w:val="none" w:sz="0" w:space="0" w:color="auto"/>
        <w:left w:val="none" w:sz="0" w:space="0" w:color="auto"/>
        <w:bottom w:val="none" w:sz="0" w:space="0" w:color="auto"/>
        <w:right w:val="none" w:sz="0" w:space="0" w:color="auto"/>
      </w:divBdr>
    </w:div>
    <w:div w:id="1508786733">
      <w:bodyDiv w:val="1"/>
      <w:marLeft w:val="0"/>
      <w:marRight w:val="0"/>
      <w:marTop w:val="0"/>
      <w:marBottom w:val="0"/>
      <w:divBdr>
        <w:top w:val="none" w:sz="0" w:space="0" w:color="auto"/>
        <w:left w:val="none" w:sz="0" w:space="0" w:color="auto"/>
        <w:bottom w:val="none" w:sz="0" w:space="0" w:color="auto"/>
        <w:right w:val="none" w:sz="0" w:space="0" w:color="auto"/>
      </w:divBdr>
    </w:div>
    <w:div w:id="1727021905">
      <w:bodyDiv w:val="1"/>
      <w:marLeft w:val="0"/>
      <w:marRight w:val="0"/>
      <w:marTop w:val="0"/>
      <w:marBottom w:val="0"/>
      <w:divBdr>
        <w:top w:val="none" w:sz="0" w:space="0" w:color="auto"/>
        <w:left w:val="none" w:sz="0" w:space="0" w:color="auto"/>
        <w:bottom w:val="none" w:sz="0" w:space="0" w:color="auto"/>
        <w:right w:val="none" w:sz="0" w:space="0" w:color="auto"/>
      </w:divBdr>
    </w:div>
    <w:div w:id="1890536200">
      <w:bodyDiv w:val="1"/>
      <w:marLeft w:val="0"/>
      <w:marRight w:val="0"/>
      <w:marTop w:val="0"/>
      <w:marBottom w:val="0"/>
      <w:divBdr>
        <w:top w:val="none" w:sz="0" w:space="0" w:color="auto"/>
        <w:left w:val="none" w:sz="0" w:space="0" w:color="auto"/>
        <w:bottom w:val="none" w:sz="0" w:space="0" w:color="auto"/>
        <w:right w:val="none" w:sz="0" w:space="0" w:color="auto"/>
      </w:divBdr>
    </w:div>
    <w:div w:id="1941445836">
      <w:bodyDiv w:val="1"/>
      <w:marLeft w:val="0"/>
      <w:marRight w:val="0"/>
      <w:marTop w:val="0"/>
      <w:marBottom w:val="0"/>
      <w:divBdr>
        <w:top w:val="none" w:sz="0" w:space="0" w:color="auto"/>
        <w:left w:val="none" w:sz="0" w:space="0" w:color="auto"/>
        <w:bottom w:val="none" w:sz="0" w:space="0" w:color="auto"/>
        <w:right w:val="none" w:sz="0" w:space="0" w:color="auto"/>
      </w:divBdr>
    </w:div>
    <w:div w:id="19776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7F335EF9877E45A24559FBBCB8FD03" ma:contentTypeVersion="4" ma:contentTypeDescription="Crear nuevo documento." ma:contentTypeScope="" ma:versionID="e8d714e781a644a10f1b64c2723c4391">
  <xsd:schema xmlns:xsd="http://www.w3.org/2001/XMLSchema" xmlns:xs="http://www.w3.org/2001/XMLSchema" xmlns:p="http://schemas.microsoft.com/office/2006/metadata/properties" xmlns:ns2="c6ba2008-573d-42ee-b893-9a70916ef018" targetNamespace="http://schemas.microsoft.com/office/2006/metadata/properties" ma:root="true" ma:fieldsID="285248da56c26ef641e8754afb07dce3" ns2:_="">
    <xsd:import namespace="c6ba2008-573d-42ee-b893-9a70916ef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a2008-573d-42ee-b893-9a70916ef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3659-906D-4424-8408-BE570AA31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963E7-B7E9-4516-8113-273237394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a2008-573d-42ee-b893-9a70916ef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EDF21-9369-41BD-978A-9010392CAFD2}">
  <ds:schemaRefs>
    <ds:schemaRef ds:uri="http://schemas.microsoft.com/sharepoint/v3/contenttype/forms"/>
  </ds:schemaRefs>
</ds:datastoreItem>
</file>

<file path=customXml/itemProps4.xml><?xml version="1.0" encoding="utf-8"?>
<ds:datastoreItem xmlns:ds="http://schemas.openxmlformats.org/officeDocument/2006/customXml" ds:itemID="{6AEA0DCA-582D-44A3-AAE9-9D1BE88D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Arto</dc:creator>
  <cp:lastModifiedBy>Usubiaga, Arkaitz</cp:lastModifiedBy>
  <cp:revision>19</cp:revision>
  <cp:lastPrinted>2021-09-29T15:29:00Z</cp:lastPrinted>
  <dcterms:created xsi:type="dcterms:W3CDTF">2023-01-23T09:53:00Z</dcterms:created>
  <dcterms:modified xsi:type="dcterms:W3CDTF">2024-12-10T07:36:00Z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id="RvvvnUsw"/&gt;&lt;style id="http://www.zotero.org/styles/ecological-economics"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ContentTypeId">
    <vt:lpwstr>0x010100CD7F335EF9877E45A24559FBBCB8FD03</vt:lpwstr>
  </property>
</Properties>
</file>